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FBC5" w14:textId="7F8EE933" w:rsidR="00493750" w:rsidRDefault="00000000">
      <w:pPr>
        <w:pStyle w:val="Mezititulek"/>
      </w:pPr>
      <w:r>
        <w:t>Příloha č. 2 výzv</w:t>
      </w:r>
      <w:r w:rsidR="008F6E91">
        <w:t>y</w:t>
      </w:r>
      <w:r>
        <w:t xml:space="preserve"> č. </w:t>
      </w:r>
      <w:r w:rsidR="008F6E91">
        <w:t>78/</w:t>
      </w:r>
      <w:r>
        <w:t>2025 OPST</w:t>
      </w:r>
    </w:p>
    <w:p w14:paraId="005BE7B8" w14:textId="77777777" w:rsidR="00493750" w:rsidRDefault="00000000">
      <w:pPr>
        <w:pStyle w:val="TITULEKVZVY"/>
        <w:rPr>
          <w:rFonts w:cs="Segoe UI"/>
        </w:rPr>
      </w:pPr>
      <w:bookmarkStart w:id="0" w:name="_Hlk200977363"/>
      <w:r>
        <w:rPr>
          <w:rFonts w:cs="Segoe UI"/>
        </w:rPr>
        <w:t>ANALÝZA SOULADU s PODMÍNKAMI VÝZVY a Čestné prohlášení</w:t>
      </w:r>
    </w:p>
    <w:p w14:paraId="6F1C7996" w14:textId="77777777" w:rsidR="00493750" w:rsidRDefault="00000000">
      <w:pPr>
        <w:pStyle w:val="Podtitul11"/>
      </w:pPr>
      <w:bookmarkStart w:id="1" w:name="_Toc2"/>
      <w:bookmarkEnd w:id="0"/>
      <w:r>
        <w:t>ZÁKLADNÍ INFORMACE O ŽADATELI</w:t>
      </w:r>
      <w:bookmarkEnd w:id="1"/>
    </w:p>
    <w:tbl>
      <w:tblPr>
        <w:tblStyle w:val="Mkatabulky"/>
        <w:tblW w:w="9077" w:type="dxa"/>
        <w:tblInd w:w="-10" w:type="dxa"/>
        <w:tblLook w:val="04A0" w:firstRow="1" w:lastRow="0" w:firstColumn="1" w:lastColumn="0" w:noHBand="0" w:noVBand="1"/>
      </w:tblPr>
      <w:tblGrid>
        <w:gridCol w:w="3946"/>
        <w:gridCol w:w="5131"/>
      </w:tblGrid>
      <w:tr w:rsidR="00493750" w14:paraId="2789BB16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32717012" w14:textId="77777777" w:rsidR="00493750" w:rsidRDefault="00000000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5131" w:type="dxa"/>
            <w:vAlign w:val="center"/>
          </w:tcPr>
          <w:p w14:paraId="44E530B0" w14:textId="77777777" w:rsidR="00493750" w:rsidRDefault="00493750">
            <w:pPr>
              <w:spacing w:before="120"/>
              <w:rPr>
                <w:rFonts w:cs="Segoe UI"/>
              </w:rPr>
            </w:pPr>
          </w:p>
        </w:tc>
      </w:tr>
      <w:tr w:rsidR="00493750" w14:paraId="65626353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69DB0B17" w14:textId="77777777" w:rsidR="00493750" w:rsidRDefault="00000000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Obchodní jméno, sídlo, IČO a DIČ žadatele</w:t>
            </w:r>
          </w:p>
        </w:tc>
        <w:tc>
          <w:tcPr>
            <w:tcW w:w="5131" w:type="dxa"/>
            <w:vAlign w:val="center"/>
          </w:tcPr>
          <w:p w14:paraId="134551DE" w14:textId="77777777" w:rsidR="00493750" w:rsidRDefault="00493750">
            <w:pPr>
              <w:spacing w:before="120"/>
              <w:rPr>
                <w:rFonts w:cs="Segoe UI"/>
              </w:rPr>
            </w:pPr>
          </w:p>
        </w:tc>
      </w:tr>
      <w:tr w:rsidR="00493750" w14:paraId="3A52B05C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0A895167" w14:textId="77777777" w:rsidR="00493750" w:rsidRDefault="00000000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5104A59F" w14:textId="77777777" w:rsidR="00493750" w:rsidRDefault="00493750">
            <w:pPr>
              <w:spacing w:before="120"/>
              <w:rPr>
                <w:rFonts w:cs="Segoe UI"/>
              </w:rPr>
            </w:pPr>
          </w:p>
        </w:tc>
      </w:tr>
    </w:tbl>
    <w:p w14:paraId="11448CF8" w14:textId="77777777" w:rsidR="00493750" w:rsidRDefault="00000000">
      <w:pPr>
        <w:pStyle w:val="Podtitul11"/>
      </w:pPr>
      <w:r>
        <w:t>ČESTNÉ PROHLÁŠENÍ – DVOJÍ FINANCOVÁNÍ</w:t>
      </w:r>
    </w:p>
    <w:tbl>
      <w:tblPr>
        <w:tblStyle w:val="Mkatabulky"/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2268"/>
        <w:gridCol w:w="4674"/>
      </w:tblGrid>
      <w:tr w:rsidR="00493750" w14:paraId="75A9D266" w14:textId="77777777">
        <w:trPr>
          <w:trHeight w:val="1339"/>
        </w:trPr>
        <w:tc>
          <w:tcPr>
            <w:tcW w:w="4403" w:type="dxa"/>
            <w:gridSpan w:val="2"/>
            <w:shd w:val="clear" w:color="auto" w:fill="E7E6E6" w:themeFill="background2"/>
            <w:vAlign w:val="center"/>
          </w:tcPr>
          <w:p w14:paraId="0DE0CDE1" w14:textId="77777777" w:rsidR="00493750" w:rsidRDefault="00000000">
            <w:pPr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Bylo pořízení projektové dokumentace projektu podpořeno z veřejných zdrojů odlišných od vlastních zdrojů žadatele?</w:t>
            </w:r>
          </w:p>
        </w:tc>
        <w:tc>
          <w:tcPr>
            <w:tcW w:w="4674" w:type="dxa"/>
            <w:vAlign w:val="center"/>
          </w:tcPr>
          <w:p w14:paraId="0446E4AB" w14:textId="77777777" w:rsidR="00493750" w:rsidRDefault="00000000">
            <w:pPr>
              <w:spacing w:before="120"/>
              <w:rPr>
                <w:rFonts w:cs="Segoe UI"/>
              </w:rPr>
            </w:pPr>
            <w:r>
              <w:rPr>
                <w:rFonts w:cs="Segoe UI"/>
              </w:rPr>
              <w:t xml:space="preserve">ANO / NE </w:t>
            </w:r>
            <w:r>
              <w:rPr>
                <w:rFonts w:cs="Segoe UI"/>
                <w:i/>
                <w:iCs/>
              </w:rPr>
              <w:t>(nehodící se škrtněte)</w:t>
            </w:r>
          </w:p>
          <w:p w14:paraId="2EBF22E1" w14:textId="77777777" w:rsidR="00493750" w:rsidRDefault="00000000">
            <w:pPr>
              <w:spacing w:before="12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(Pokud je odpověď ANO, pokračujte na čestné prohlášení, pokud je odpověď NE, není čestné prohlášení relevantní)</w:t>
            </w:r>
          </w:p>
        </w:tc>
      </w:tr>
      <w:tr w:rsidR="00493750" w14:paraId="162BCCF8" w14:textId="77777777">
        <w:trPr>
          <w:trHeight w:val="1339"/>
        </w:trPr>
        <w:tc>
          <w:tcPr>
            <w:tcW w:w="9077" w:type="dxa"/>
            <w:gridSpan w:val="3"/>
            <w:shd w:val="clear" w:color="FFFFFF" w:fill="E7E6E6" w:themeFill="background2"/>
            <w:vAlign w:val="center"/>
          </w:tcPr>
          <w:p w14:paraId="0EF989E5" w14:textId="77777777" w:rsidR="00493750" w:rsidRDefault="00000000">
            <w:pPr>
              <w:tabs>
                <w:tab w:val="left" w:pos="0"/>
              </w:tabs>
              <w:spacing w:before="120"/>
              <w:rPr>
                <w:rFonts w:cs="Segoe UI"/>
              </w:rPr>
            </w:pPr>
            <w:r>
              <w:rPr>
                <w:rFonts w:cs="Segoe UI"/>
              </w:rPr>
              <w:t>Žadatel čestně prohlašuje, že výdaje na pořízení projektové dokumentace projektu (ve všech stupních této dokumentace), které již byly podpořeny z veřejných zdrojů odlišných od vlastních zdrojů žadatele, nezahrne mezi výdaje financované prostřednictvím paušální částky na nepřímé výdaje tak, aby nedošlo </w:t>
            </w:r>
            <w:proofErr w:type="gramStart"/>
            <w:r>
              <w:rPr>
                <w:rFonts w:cs="Segoe UI"/>
              </w:rPr>
              <w:t>k</w:t>
            </w:r>
            <w:proofErr w:type="gramEnd"/>
            <w:r>
              <w:rPr>
                <w:rFonts w:cs="Segoe UI"/>
              </w:rPr>
              <w:t xml:space="preserve"> dvojímu financování těchto výdajů.</w:t>
            </w:r>
          </w:p>
        </w:tc>
      </w:tr>
      <w:tr w:rsidR="00493750" w14:paraId="47A48CDD" w14:textId="77777777">
        <w:trPr>
          <w:trHeight w:val="719"/>
        </w:trPr>
        <w:tc>
          <w:tcPr>
            <w:tcW w:w="4403" w:type="dxa"/>
            <w:gridSpan w:val="2"/>
            <w:shd w:val="clear" w:color="FFFFFF" w:fill="E7E6E6" w:themeFill="background2"/>
            <w:vAlign w:val="center"/>
          </w:tcPr>
          <w:p w14:paraId="2962F11B" w14:textId="77777777" w:rsidR="00493750" w:rsidRDefault="00000000">
            <w:pPr>
              <w:tabs>
                <w:tab w:val="left" w:pos="0"/>
              </w:tabs>
              <w:spacing w:before="120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4674" w:type="dxa"/>
            <w:vAlign w:val="center"/>
          </w:tcPr>
          <w:p w14:paraId="53C85653" w14:textId="77777777" w:rsidR="00493750" w:rsidRDefault="00493750">
            <w:pPr>
              <w:spacing w:before="120"/>
              <w:rPr>
                <w:rFonts w:cs="Segoe UI"/>
              </w:rPr>
            </w:pPr>
          </w:p>
        </w:tc>
      </w:tr>
      <w:tr w:rsidR="00493750" w14:paraId="1B5CB0BE" w14:textId="77777777">
        <w:trPr>
          <w:trHeight w:val="702"/>
        </w:trPr>
        <w:tc>
          <w:tcPr>
            <w:tcW w:w="4403" w:type="dxa"/>
            <w:gridSpan w:val="2"/>
            <w:shd w:val="clear" w:color="FFFFFF" w:fill="E7E6E6" w:themeFill="background2"/>
            <w:vAlign w:val="center"/>
          </w:tcPr>
          <w:p w14:paraId="0EBCC48B" w14:textId="77777777" w:rsidR="00493750" w:rsidRDefault="00000000">
            <w:pPr>
              <w:spacing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4674" w:type="dxa"/>
            <w:shd w:val="clear" w:color="FFFFFF" w:themeColor="background1" w:fill="FFFFFF" w:themeFill="background1"/>
            <w:vAlign w:val="center"/>
          </w:tcPr>
          <w:p w14:paraId="7ACCBC31" w14:textId="77777777" w:rsidR="00493750" w:rsidRDefault="00493750">
            <w:pPr>
              <w:spacing w:before="120"/>
              <w:rPr>
                <w:rFonts w:cs="Segoe UI"/>
              </w:rPr>
            </w:pPr>
          </w:p>
        </w:tc>
      </w:tr>
      <w:tr w:rsidR="00493750" w14:paraId="2C238592" w14:textId="77777777">
        <w:trPr>
          <w:gridAfter w:val="1"/>
          <w:wAfter w:w="4674" w:type="dxa"/>
          <w:trHeight w:val="719"/>
        </w:trPr>
        <w:tc>
          <w:tcPr>
            <w:tcW w:w="2135" w:type="dxa"/>
            <w:shd w:val="clear" w:color="FFFFFF" w:fill="E7E6E6" w:themeFill="background2"/>
            <w:vAlign w:val="center"/>
          </w:tcPr>
          <w:p w14:paraId="4DF53620" w14:textId="77777777" w:rsidR="00493750" w:rsidRDefault="00493750">
            <w:pPr>
              <w:spacing w:line="240" w:lineRule="auto"/>
              <w:rPr>
                <w:rFonts w:cs="Segoe UI"/>
              </w:rPr>
            </w:pPr>
          </w:p>
          <w:p w14:paraId="532A3FF1" w14:textId="77777777" w:rsidR="00493750" w:rsidRDefault="00000000">
            <w:pPr>
              <w:spacing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14:paraId="16E3E3FC" w14:textId="77777777" w:rsidR="00493750" w:rsidRDefault="00000000">
            <w:pPr>
              <w:spacing w:line="240" w:lineRule="auto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  <w:p w14:paraId="3FADEF72" w14:textId="77777777" w:rsidR="00493750" w:rsidRDefault="00493750">
            <w:pPr>
              <w:spacing w:line="240" w:lineRule="auto"/>
              <w:rPr>
                <w:rFonts w:cs="Segoe UI"/>
                <w:b/>
                <w:bCs/>
                <w:i/>
              </w:rPr>
            </w:pPr>
          </w:p>
          <w:p w14:paraId="0EC7CB66" w14:textId="77777777" w:rsidR="00493750" w:rsidRDefault="00493750">
            <w:pPr>
              <w:spacing w:line="240" w:lineRule="auto"/>
              <w:rPr>
                <w:rFonts w:cs="Segoe UI"/>
                <w:b/>
                <w:bCs/>
              </w:rPr>
            </w:pPr>
          </w:p>
        </w:tc>
        <w:tc>
          <w:tcPr>
            <w:tcW w:w="2268" w:type="dxa"/>
            <w:shd w:val="clear" w:color="FFFFFF" w:themeColor="background1" w:fill="FFFFFF" w:themeFill="background1"/>
            <w:vAlign w:val="center"/>
          </w:tcPr>
          <w:p w14:paraId="21D2B982" w14:textId="77777777" w:rsidR="00493750" w:rsidRDefault="00493750">
            <w:pPr>
              <w:tabs>
                <w:tab w:val="left" w:pos="0"/>
              </w:tabs>
              <w:spacing w:before="120"/>
              <w:rPr>
                <w:rFonts w:cs="Segoe UI"/>
              </w:rPr>
            </w:pPr>
          </w:p>
        </w:tc>
      </w:tr>
    </w:tbl>
    <w:p w14:paraId="69C8079B" w14:textId="77777777" w:rsidR="00493750" w:rsidRDefault="00000000">
      <w:pPr>
        <w:rPr>
          <w:rFonts w:eastAsiaTheme="minorEastAsia" w:cs="Segoe UI"/>
          <w:b/>
          <w:caps/>
          <w:color w:val="3E1F65"/>
          <w:sz w:val="24"/>
          <w:szCs w:val="20"/>
          <w:lang w:eastAsia="cs-CZ"/>
        </w:rPr>
      </w:pPr>
      <w:r>
        <w:br w:type="page"/>
      </w:r>
    </w:p>
    <w:p w14:paraId="39D8AFC8" w14:textId="77777777" w:rsidR="00493750" w:rsidRDefault="00000000">
      <w:pPr>
        <w:pStyle w:val="Podtitul11"/>
      </w:pPr>
      <w:r>
        <w:lastRenderedPageBreak/>
        <w:t xml:space="preserve">Výběr relevantní podaktivity 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93750" w14:paraId="5CA4D2C9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DC69C4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Relevantní podaktivita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6370" w14:textId="77777777" w:rsidR="00493750" w:rsidRDefault="00000000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 xml:space="preserve">Zaškrtněte relevantní </w:t>
            </w:r>
            <w:proofErr w:type="spellStart"/>
            <w:r>
              <w:rPr>
                <w:rFonts w:cs="Segoe UI"/>
                <w:i/>
                <w:iCs/>
              </w:rPr>
              <w:t>podaktivitu</w:t>
            </w:r>
            <w:proofErr w:type="spellEnd"/>
            <w:r>
              <w:rPr>
                <w:rFonts w:cs="Segoe UI"/>
                <w:i/>
                <w:iCs/>
              </w:rPr>
              <w:t xml:space="preserve">. Následně vyplňte pouze příslušnou kapitolu (V případě </w:t>
            </w:r>
            <w:proofErr w:type="spellStart"/>
            <w:r>
              <w:rPr>
                <w:rFonts w:cs="Segoe UI"/>
                <w:i/>
                <w:iCs/>
              </w:rPr>
              <w:t>podaktivity</w:t>
            </w:r>
            <w:proofErr w:type="spellEnd"/>
            <w:r>
              <w:rPr>
                <w:rFonts w:cs="Segoe UI"/>
                <w:i/>
                <w:iCs/>
              </w:rPr>
              <w:t xml:space="preserve"> 2.1 není třeba analýzu souladu s podmínkami výzvy vyplňovat)</w:t>
            </w:r>
          </w:p>
          <w:p w14:paraId="043D945C" w14:textId="77777777" w:rsidR="00493750" w:rsidRDefault="00000000">
            <w:pPr>
              <w:pStyle w:val="Normlnweb"/>
              <w:spacing w:before="0" w:beforeAutospacing="0" w:after="200" w:afterAutospacing="0"/>
              <w:ind w:left="360"/>
            </w:pPr>
            <w:sdt>
              <w:sdtPr>
                <w:rPr>
                  <w:rFonts w:eastAsia="Segoe UI" w:cs="Segoe UI"/>
                  <w:color w:val="000000"/>
                  <w:sz w:val="20"/>
                  <w:szCs w:val="20"/>
                </w:rPr>
                <w:id w:val="-196657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 xml:space="preserve">Podaktivita 1.1 - Výstavba a modernizace muzeí, galerií nebo expozic jiných veřejných institucí uchovávající hornické dědictví </w:t>
            </w:r>
            <w:bookmarkStart w:id="2" w:name="_Hlk137139338"/>
            <w:r>
              <w:rPr>
                <w:rFonts w:ascii="Segoe UI" w:hAnsi="Segoe UI" w:cs="Segoe UI"/>
                <w:sz w:val="20"/>
              </w:rPr>
              <w:t>a paměť regionu</w:t>
            </w:r>
            <w:bookmarkEnd w:id="2"/>
            <w:r>
              <w:rPr>
                <w:rFonts w:ascii="Segoe UI" w:hAnsi="Segoe UI" w:cs="Segoe UI"/>
                <w:sz w:val="20"/>
              </w:rPr>
              <w:t>.</w:t>
            </w:r>
          </w:p>
          <w:p w14:paraId="49714AA3" w14:textId="77777777" w:rsidR="00493750" w:rsidRDefault="00000000">
            <w:pPr>
              <w:ind w:left="360"/>
              <w:rPr>
                <w:rFonts w:ascii="Times New Roman" w:hAnsi="Times New Roman"/>
              </w:rPr>
            </w:pPr>
            <w:sdt>
              <w:sdtPr>
                <w:rPr>
                  <w:rFonts w:eastAsia="Segoe UI"/>
                  <w:szCs w:val="20"/>
                </w:rPr>
                <w:id w:val="88013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eastAsia="Segoe UI"/>
                <w:szCs w:val="20"/>
              </w:rPr>
              <w:t xml:space="preserve"> </w:t>
            </w:r>
            <w:r>
              <w:t xml:space="preserve">Podaktivita 1.2 - Oprava a zachování </w:t>
            </w:r>
            <w:r>
              <w:rPr>
                <w:bCs/>
              </w:rPr>
              <w:t>kulturních památek</w:t>
            </w:r>
            <w:r>
              <w:t xml:space="preserve"> hornického dědictví nebo památek, které byly prokazatelně zasažené těžbou uhlí.</w:t>
            </w:r>
          </w:p>
          <w:p w14:paraId="1A49386B" w14:textId="77777777" w:rsidR="00493750" w:rsidRDefault="00000000">
            <w:pPr>
              <w:ind w:left="360"/>
            </w:pPr>
            <w:sdt>
              <w:sdtPr>
                <w:id w:val="200524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eastAsia="Segoe UI"/>
                <w:szCs w:val="20"/>
              </w:rPr>
              <w:t xml:space="preserve"> </w:t>
            </w:r>
            <w:r>
              <w:t>Podaktivita 1.3 - Výstavba a modernizace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kulturních a komunitních center a domů</w:t>
            </w:r>
            <w:r>
              <w:t>.</w:t>
            </w:r>
          </w:p>
          <w:p w14:paraId="06061540" w14:textId="77777777" w:rsidR="00493750" w:rsidRDefault="00000000">
            <w:pPr>
              <w:ind w:left="360"/>
            </w:pPr>
            <w:sdt>
              <w:sdtPr>
                <w:id w:val="175885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Podaktivita 2.1 - Výstavba a modernizace multifunkčních rekreačních areálů.</w:t>
            </w:r>
          </w:p>
          <w:p w14:paraId="3269EA74" w14:textId="77777777" w:rsidR="00493750" w:rsidRDefault="00000000">
            <w:pPr>
              <w:ind w:left="360"/>
            </w:pPr>
            <w:sdt>
              <w:sdtPr>
                <w:id w:val="-23124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Podaktivita 2.2 - Výstavba a modernizace venkovních sportovišť.</w:t>
            </w:r>
          </w:p>
          <w:p w14:paraId="24543271" w14:textId="77777777" w:rsidR="00493750" w:rsidRDefault="00000000">
            <w:pPr>
              <w:ind w:left="360"/>
            </w:pPr>
            <w:sdt>
              <w:sdtPr>
                <w:id w:val="170089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Podaktivita 2.3 - Výstavba a modernizace návštěvnických a informačních středisek ve vazbě na hornické dědictví a území zasažené těžbou uhlí.</w:t>
            </w:r>
          </w:p>
          <w:p w14:paraId="4D1FEBC5" w14:textId="77777777" w:rsidR="00493750" w:rsidRDefault="00000000">
            <w:pPr>
              <w:ind w:left="360"/>
            </w:pPr>
            <w:sdt>
              <w:sdtPr>
                <w:id w:val="-104344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Podaktivita 3.1 - Regenerace brownfieldů pro účely s veřejným zájmem </w:t>
            </w:r>
          </w:p>
        </w:tc>
      </w:tr>
    </w:tbl>
    <w:p w14:paraId="3A374A47" w14:textId="77777777" w:rsidR="00493750" w:rsidRDefault="00000000">
      <w:pPr>
        <w:pStyle w:val="Podtitul11"/>
      </w:pPr>
      <w:r>
        <w:t>PODAKTIVITA 1.1 - Výstavba a modernizace muzeí, galerií nebo expozic jiných veřejných institucí uchovávající hornické dědictví a paměť regionu.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93750" w14:paraId="57546DF8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2956CA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Název sbírky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6AC9" w14:textId="77777777" w:rsidR="00493750" w:rsidRDefault="00000000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Uveďte název sbírky zapsané v Centrální evidenci sbírek (</w:t>
            </w:r>
            <w:hyperlink r:id="rId8" w:tooltip="https://www.cesonline.cz" w:history="1">
              <w:r w:rsidR="00493750">
                <w:rPr>
                  <w:rStyle w:val="Hypertextovodkaz"/>
                  <w:rFonts w:cs="Segoe UI"/>
                  <w:i/>
                  <w:iCs/>
                  <w:szCs w:val="20"/>
                </w:rPr>
                <w:t>https://www.cesonline.cz</w:t>
              </w:r>
            </w:hyperlink>
            <w:r>
              <w:rPr>
                <w:rFonts w:cs="Segoe UI"/>
                <w:i/>
                <w:iCs/>
                <w:szCs w:val="20"/>
              </w:rPr>
              <w:t xml:space="preserve">). </w:t>
            </w:r>
          </w:p>
        </w:tc>
      </w:tr>
      <w:tr w:rsidR="00493750" w14:paraId="66DD9F05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0BB1D6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Kód sbírky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4A6B" w14:textId="77777777" w:rsidR="00493750" w:rsidRDefault="00000000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Uveďte kód sbírky zapsané v Centrální evidenci sbírek (</w:t>
            </w:r>
            <w:hyperlink r:id="rId9" w:tooltip="https://www.cesonline.cz" w:history="1">
              <w:r w:rsidR="00493750">
                <w:rPr>
                  <w:rStyle w:val="Hypertextovodkaz"/>
                  <w:rFonts w:cs="Segoe UI"/>
                  <w:i/>
                  <w:iCs/>
                  <w:szCs w:val="20"/>
                </w:rPr>
                <w:t>https://www.cesonline.cz</w:t>
              </w:r>
            </w:hyperlink>
            <w:r>
              <w:rPr>
                <w:rFonts w:cs="Segoe UI"/>
                <w:i/>
                <w:iCs/>
                <w:szCs w:val="20"/>
              </w:rPr>
              <w:t>).</w:t>
            </w:r>
          </w:p>
        </w:tc>
      </w:tr>
      <w:tr w:rsidR="00493750" w14:paraId="4940AD2A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2A6CD7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Vztah sbírky k hornickému dědictví či území po těžbě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4EC4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Popište vztah sbírky k hornickému dědictví či území po těžbě.</w:t>
            </w:r>
          </w:p>
        </w:tc>
      </w:tr>
      <w:tr w:rsidR="00493750" w14:paraId="3A5DFA38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3FF6C1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Přístupnost veřejnosti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236E" w14:textId="77777777" w:rsidR="00493750" w:rsidRDefault="00000000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Popište, jakým způsobem bude sbírka zpřístupněna veřejnosti.</w:t>
            </w:r>
          </w:p>
        </w:tc>
      </w:tr>
      <w:tr w:rsidR="00493750" w14:paraId="6B0CF151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550638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lastRenderedPageBreak/>
              <w:t>Další komentáře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5DF2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V případě potřeby uveďte další komentáře či zpřesnění.</w:t>
            </w:r>
          </w:p>
        </w:tc>
      </w:tr>
      <w:tr w:rsidR="00493750" w14:paraId="1AE60E3E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92998C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Veřejná podpora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8A12" w14:textId="77777777" w:rsidR="00493750" w:rsidRDefault="00000000">
            <w:pPr>
              <w:spacing w:before="240"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>Podporu poskytujeme v režimu blokové výjimky – článek 53 podpora kultury a zachování kulturního dědictví. Z toho vyplývají následující doplňující podmínky:</w:t>
            </w:r>
          </w:p>
          <w:p w14:paraId="0FD291D5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kromě standardních příloh k žádosti je nezbytné předložit i </w:t>
            </w:r>
            <w:hyperlink r:id="rId10" w:tooltip="https://opst.cz/dokumenty/ostatni-dokumenty/" w:history="1">
              <w:r w:rsidR="00493750">
                <w:rPr>
                  <w:rStyle w:val="Hypertextovodkaz"/>
                  <w:rFonts w:cs="Segoe UI"/>
                  <w:b/>
                  <w:iCs/>
                  <w:color w:val="3E1F65"/>
                </w:rPr>
                <w:t>čestné prohlášení k inkasnímu příkazu</w:t>
              </w:r>
            </w:hyperlink>
          </w:p>
          <w:p w14:paraId="1C316230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minimálně 80 % plochy nebo kapacity podpořeného objektu musí být využito pro kulturní účely</w:t>
            </w:r>
          </w:p>
          <w:p w14:paraId="2D907BB1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od způsobilých výdajů se odečítá provozní zisk investice – provozní příjmy a náklady zadávejte při podávání žádosti v ISKP do modulu CBA; návod pro vyplnění naleznete v </w:t>
            </w:r>
            <w:hyperlink r:id="rId11" w:tooltip="https://opst.cz/dokument/3666" w:history="1">
              <w:r w:rsidR="00493750">
                <w:rPr>
                  <w:rStyle w:val="Hypertextovodkaz"/>
                  <w:rFonts w:cs="Segoe UI"/>
                  <w:b/>
                  <w:iCs/>
                  <w:color w:val="3E1F65"/>
                  <w:u w:val="none"/>
                </w:rPr>
                <w:t>příloze č. 12</w:t>
              </w:r>
            </w:hyperlink>
            <w:r>
              <w:rPr>
                <w:rFonts w:cs="Segoe UI"/>
                <w:iCs/>
              </w:rPr>
              <w:t xml:space="preserve"> pravidel pro žadatele a příjemce</w:t>
            </w:r>
          </w:p>
        </w:tc>
      </w:tr>
    </w:tbl>
    <w:p w14:paraId="06BD2B4E" w14:textId="77777777" w:rsidR="00493750" w:rsidRDefault="00000000">
      <w:pPr>
        <w:pStyle w:val="Podtitul11"/>
      </w:pPr>
      <w:r>
        <w:t xml:space="preserve">Podaktivita 1.2 - Oprava a zachování </w:t>
      </w:r>
      <w:r>
        <w:rPr>
          <w:bCs/>
        </w:rPr>
        <w:t>kulturních památek</w:t>
      </w:r>
      <w:r>
        <w:t xml:space="preserve"> hornického dědictví nebo památek, které byly prokazatelně zasažené těžbou uhlí.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93750" w14:paraId="0152C0E9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330D74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Kategorie památky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E4DF" w14:textId="77777777" w:rsidR="00493750" w:rsidRDefault="00000000">
            <w:pPr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>Vyberte jednu z možností.</w:t>
            </w:r>
          </w:p>
          <w:p w14:paraId="2D340EA9" w14:textId="77777777" w:rsidR="00493750" w:rsidRDefault="00000000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87936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>
              <w:rPr>
                <w:rFonts w:cs="Segoe UI"/>
              </w:rPr>
              <w:t xml:space="preserve"> Jedná se o kulturní památku</w:t>
            </w:r>
            <w:r>
              <w:rPr>
                <w:rFonts w:cs="Segoe UI"/>
                <w:sz w:val="18"/>
              </w:rPr>
              <w:t xml:space="preserve"> </w:t>
            </w:r>
            <w:r>
              <w:rPr>
                <w:rStyle w:val="docdata"/>
                <w:rFonts w:cs="Segoe UI"/>
                <w:color w:val="000000"/>
              </w:rPr>
              <w:t>ve smyslu zákona č. 20/1987 Sb., o státní pamá</w:t>
            </w:r>
            <w:r>
              <w:rPr>
                <w:rFonts w:cs="Segoe UI"/>
                <w:color w:val="000000"/>
              </w:rPr>
              <w:t>tkové péči.</w:t>
            </w:r>
          </w:p>
          <w:p w14:paraId="41234675" w14:textId="77777777" w:rsidR="00493750" w:rsidRDefault="00000000">
            <w:pPr>
              <w:rPr>
                <w:rFonts w:cs="Segoe UI"/>
                <w:szCs w:val="20"/>
              </w:rPr>
            </w:pPr>
            <w:sdt>
              <w:sdtPr>
                <w:rPr>
                  <w:rFonts w:cs="Segoe UI"/>
                </w:rPr>
                <w:id w:val="-61327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cs="Segoe UI"/>
              </w:rPr>
              <w:t xml:space="preserve"> Jedná se o památku s regionálním významem.</w:t>
            </w:r>
          </w:p>
        </w:tc>
      </w:tr>
      <w:tr w:rsidR="00493750" w14:paraId="6A8000EE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BF6C48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Typ památky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E47D" w14:textId="77777777" w:rsidR="00493750" w:rsidRDefault="00000000">
            <w:pPr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>Vyberte alespoň jednu z možností.</w:t>
            </w:r>
          </w:p>
          <w:p w14:paraId="40AF8F03" w14:textId="77777777" w:rsidR="00493750" w:rsidRDefault="00000000">
            <w:pPr>
              <w:spacing w:before="240"/>
              <w:rPr>
                <w:rStyle w:val="docdata"/>
                <w:rFonts w:cs="Segoe UI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72464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Jedná se o </w:t>
            </w:r>
            <w:r>
              <w:rPr>
                <w:rStyle w:val="docdata"/>
                <w:rFonts w:cs="Segoe UI"/>
                <w:color w:val="000000"/>
                <w:szCs w:val="20"/>
              </w:rPr>
              <w:t>technickou památku připomínající těžbu, zpracování, skladování nebo přepravu uhlí.</w:t>
            </w:r>
          </w:p>
          <w:p w14:paraId="2A0E4CD1" w14:textId="77777777" w:rsidR="00493750" w:rsidRDefault="00000000">
            <w:pPr>
              <w:spacing w:before="240"/>
              <w:rPr>
                <w:rStyle w:val="docdata"/>
                <w:rFonts w:cs="Segoe UI"/>
                <w:color w:val="000000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7910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Jedná se o </w:t>
            </w:r>
            <w:r>
              <w:rPr>
                <w:rStyle w:val="docdata"/>
                <w:rFonts w:cs="Segoe UI"/>
                <w:color w:val="000000"/>
                <w:szCs w:val="20"/>
              </w:rPr>
              <w:t>technickou památku připomínající průmysl navázaný na těžbu uhlí (slévárenství, chemický průmysl apod.)</w:t>
            </w:r>
          </w:p>
          <w:p w14:paraId="01A5C8E5" w14:textId="77777777" w:rsidR="00493750" w:rsidRDefault="00000000">
            <w:pPr>
              <w:spacing w:before="240"/>
              <w:rPr>
                <w:rStyle w:val="docdata"/>
                <w:rFonts w:cs="Segoe UI"/>
                <w:color w:val="000000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207353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Jedná se o </w:t>
            </w:r>
            <w:r>
              <w:rPr>
                <w:rStyle w:val="docdata"/>
                <w:rFonts w:cs="Segoe UI"/>
                <w:color w:val="000000"/>
                <w:szCs w:val="20"/>
              </w:rPr>
              <w:t>památku připomínající život hornických komunit (hornické domy a kolonie apod.).</w:t>
            </w:r>
          </w:p>
          <w:p w14:paraId="501899EF" w14:textId="77777777" w:rsidR="00493750" w:rsidRDefault="00000000">
            <w:pPr>
              <w:spacing w:before="240"/>
              <w:rPr>
                <w:rFonts w:cs="Segoe UI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-43474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Jedná se o </w:t>
            </w:r>
            <w:r>
              <w:rPr>
                <w:rStyle w:val="docdata"/>
                <w:rFonts w:cs="Segoe UI"/>
                <w:color w:val="000000"/>
                <w:szCs w:val="20"/>
              </w:rPr>
              <w:t>památku, která byla významným způsobem negativně ovlivněná tě</w:t>
            </w:r>
            <w:r>
              <w:rPr>
                <w:rFonts w:cs="Segoe UI"/>
                <w:color w:val="000000"/>
                <w:szCs w:val="20"/>
              </w:rPr>
              <w:t>žbou uhlí.</w:t>
            </w:r>
          </w:p>
          <w:p w14:paraId="5AD64E20" w14:textId="77777777" w:rsidR="00493750" w:rsidRDefault="00493750">
            <w:pPr>
              <w:rPr>
                <w:rFonts w:cs="Segoe UI"/>
                <w:szCs w:val="20"/>
              </w:rPr>
            </w:pPr>
          </w:p>
        </w:tc>
      </w:tr>
      <w:tr w:rsidR="00493750" w14:paraId="2EF9FBBA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B0AC76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Popis památky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0A53" w14:textId="77777777" w:rsidR="00493750" w:rsidRDefault="00000000">
            <w:pPr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>Popište a blíže zdůvodněte o jaký typ památky se jedná (v návaznosti na výběr kategorie výše).</w:t>
            </w:r>
          </w:p>
        </w:tc>
      </w:tr>
      <w:tr w:rsidR="00493750" w14:paraId="20611225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3AE5C9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lastRenderedPageBreak/>
              <w:t>Přístupnost veřejnosti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3A58" w14:textId="77777777" w:rsidR="00493750" w:rsidRDefault="00000000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Popište, jakým způsobem a v jakém rozsahu bude památka zpřístupněna veřejnosti.</w:t>
            </w:r>
          </w:p>
        </w:tc>
      </w:tr>
      <w:tr w:rsidR="00493750" w14:paraId="4BF5147C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1D68E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Další komentáře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D982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V případě potřeby uveďte další komentáře či zpřesnění.</w:t>
            </w:r>
          </w:p>
        </w:tc>
      </w:tr>
      <w:tr w:rsidR="00493750" w14:paraId="2FBB1DB0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1FC519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Veřejná podpora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00B6" w14:textId="77777777" w:rsidR="00493750" w:rsidRDefault="00000000">
            <w:pPr>
              <w:spacing w:before="240"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>Podporu poskytujeme v režimu blokové výjimky – článek 53 podpora kultury a zachování kulturního dědictví. Z toho vyplývají následující doplňující podmínky:</w:t>
            </w:r>
          </w:p>
          <w:p w14:paraId="1CFD1B8A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kromě standardních příloh k žádosti je nezbytné předložit i </w:t>
            </w:r>
            <w:hyperlink r:id="rId12" w:tooltip="https://opst.cz/dokumenty/ostatni-dokumenty/" w:history="1">
              <w:r w:rsidR="00493750">
                <w:rPr>
                  <w:rStyle w:val="Hypertextovodkaz"/>
                  <w:b/>
                  <w:color w:val="3E1F65"/>
                </w:rPr>
                <w:t>čestné prohlášení k inkasnímu příkazu</w:t>
              </w:r>
            </w:hyperlink>
          </w:p>
          <w:p w14:paraId="3516334F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od způsobilých výdajů se odečítá provozní zisk investice – provozní příjmy a náklady zadávejte při podávání žádosti v ISKP do modulu CBA; návod pro vyplnění naleznete v </w:t>
            </w:r>
            <w:hyperlink r:id="rId13" w:tooltip="https://opst.cz/dokument/3666" w:history="1">
              <w:r w:rsidR="00493750">
                <w:rPr>
                  <w:rStyle w:val="Hypertextovodkaz"/>
                  <w:b/>
                  <w:color w:val="3E1F65"/>
                  <w:u w:val="none"/>
                </w:rPr>
                <w:t>přílo</w:t>
              </w:r>
              <w:r w:rsidR="00493750">
                <w:rPr>
                  <w:rStyle w:val="Hypertextovodkaz"/>
                  <w:rFonts w:cs="Segoe UI"/>
                  <w:b/>
                  <w:iCs/>
                  <w:color w:val="3E1F65"/>
                  <w:u w:val="none"/>
                </w:rPr>
                <w:t>ze</w:t>
              </w:r>
              <w:r w:rsidR="00493750">
                <w:rPr>
                  <w:rStyle w:val="Hypertextovodkaz"/>
                  <w:b/>
                  <w:color w:val="3E1F65"/>
                  <w:u w:val="none"/>
                </w:rPr>
                <w:t xml:space="preserve"> č. 12</w:t>
              </w:r>
            </w:hyperlink>
            <w:r>
              <w:rPr>
                <w:rFonts w:cs="Segoe UI"/>
                <w:iCs/>
              </w:rPr>
              <w:t xml:space="preserve"> pravidel pro žadatele a příjemce</w:t>
            </w:r>
          </w:p>
        </w:tc>
      </w:tr>
    </w:tbl>
    <w:p w14:paraId="386EC76C" w14:textId="77777777" w:rsidR="00493750" w:rsidRDefault="00000000">
      <w:pPr>
        <w:pStyle w:val="Podtitul11"/>
      </w:pPr>
      <w:r>
        <w:t>PODAKTIVITA 1.3 – výstavba a modernizace kulturních a komunitních center a domů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93750" w14:paraId="2302EE0F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E555F3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Poskytování kulturních služeb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0B57" w14:textId="77777777" w:rsidR="00493750" w:rsidRDefault="00000000">
            <w:pPr>
              <w:rPr>
                <w:rFonts w:cs="Segoe UI"/>
                <w:i/>
                <w:szCs w:val="20"/>
              </w:rPr>
            </w:pPr>
            <w:r>
              <w:rPr>
                <w:rFonts w:cs="Segoe UI"/>
                <w:i/>
                <w:szCs w:val="20"/>
              </w:rPr>
              <w:t>Stručně popište, jaké kulturní služby (např. živá kultura, nebo výstavy) budou v rámci kulturního nebo komunitního centra či domu poskytovány.</w:t>
            </w:r>
          </w:p>
        </w:tc>
      </w:tr>
      <w:tr w:rsidR="00493750" w14:paraId="414F4741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738D0A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Poskytování výchovných a vzdělávacích služeb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9F6F" w14:textId="77777777" w:rsidR="00493750" w:rsidRDefault="00000000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szCs w:val="20"/>
              </w:rPr>
              <w:t>Stručně popište, jaké výchovné či vzdělávací služby (např. výchova, osvěta, environmentální vzdělávání či environmentální poradenství) budou v rámci kulturního nebo komunitního centra či domu poskytovány.</w:t>
            </w:r>
          </w:p>
        </w:tc>
      </w:tr>
      <w:tr w:rsidR="00493750" w14:paraId="71E21D51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6D71F7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Poskytování volnočasových služeb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D30B" w14:textId="77777777" w:rsidR="00493750" w:rsidRDefault="00000000">
            <w:pPr>
              <w:rPr>
                <w:rFonts w:cs="Segoe UI"/>
                <w:i/>
              </w:rPr>
            </w:pPr>
            <w:r>
              <w:rPr>
                <w:rFonts w:cs="Segoe UI"/>
                <w:i/>
                <w:szCs w:val="20"/>
              </w:rPr>
              <w:t>Stručně popište, jaké volnočasové služby (např. spolková činnost) budou v rámci kulturního nebo komunitního centra či domu poskytovány.</w:t>
            </w:r>
          </w:p>
        </w:tc>
      </w:tr>
      <w:tr w:rsidR="00493750" w14:paraId="257843E7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8BA1D8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Další komentáře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80DC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V případě potřeby uveďte další komentáře či zpřesnění.</w:t>
            </w:r>
          </w:p>
        </w:tc>
      </w:tr>
      <w:tr w:rsidR="00493750" w14:paraId="0D84EC89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D1AF71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Veřejná podpora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3035" w14:textId="77777777" w:rsidR="00493750" w:rsidRDefault="00000000">
            <w:p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  <w:szCs w:val="20"/>
              </w:rPr>
              <w:t xml:space="preserve">Podporu poskytujeme buď v režimu blokové výjimky – článek 53 podpora kultury a zachování kulturního dědictví, nebo v režimu bez veřejné podpory v případě, že žadatelem jsou </w:t>
            </w:r>
            <w:r>
              <w:rPr>
                <w:rFonts w:eastAsia="Segoe UI" w:cs="Segoe UI"/>
                <w:color w:val="000000" w:themeColor="text1"/>
                <w:szCs w:val="16"/>
              </w:rPr>
              <w:t>nadace, nadační fondy, ústavy, spolky, pobočné spolky nebo obecně prospěšné společnosti.</w:t>
            </w:r>
          </w:p>
          <w:p w14:paraId="36FA36E6" w14:textId="77777777" w:rsidR="00493750" w:rsidRDefault="00000000">
            <w:pPr>
              <w:spacing w:before="240"/>
              <w:rPr>
                <w:rFonts w:cs="Segoe UI"/>
              </w:rPr>
            </w:pPr>
            <w:r>
              <w:rPr>
                <w:rFonts w:cs="Segoe UI"/>
                <w:iCs/>
                <w:szCs w:val="20"/>
              </w:rPr>
              <w:lastRenderedPageBreak/>
              <w:t>V případě podpory dle čl. 53 GBER vyplývají z tohoto režimu následující doplňující podmínky:</w:t>
            </w:r>
          </w:p>
          <w:p w14:paraId="3818E0A2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kromě standardních příloh k žádosti je nezbytné předložit i </w:t>
            </w:r>
            <w:hyperlink r:id="rId14" w:tooltip="https://opst.cz/dokumenty/ostatni-dokumenty/" w:history="1">
              <w:r w:rsidR="00493750">
                <w:rPr>
                  <w:rStyle w:val="Hypertextovodkaz"/>
                  <w:rFonts w:cs="Segoe UI"/>
                  <w:b/>
                  <w:iCs/>
                  <w:color w:val="3E1F65"/>
                </w:rPr>
                <w:t>čestné prohlášení k inkasnímu příkazu</w:t>
              </w:r>
            </w:hyperlink>
          </w:p>
          <w:p w14:paraId="2D6E80D8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minimálně 80 % plochy nebo časové kapacity podpořeného objektu musí být ročně využito pro kulturní účely</w:t>
            </w:r>
          </w:p>
          <w:p w14:paraId="035197B8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od způsobilých výdajů se odečítá provozní zisk investice – provozní příjmy a náklady zadávejte při podávání žádosti v ISKP do modulu CBA; návod pro vyplnění naleznete v </w:t>
            </w:r>
            <w:hyperlink r:id="rId15" w:tooltip="https://opst.cz/dokument/3666" w:history="1">
              <w:r w:rsidR="00493750">
                <w:rPr>
                  <w:rStyle w:val="Hypertextovodkaz"/>
                  <w:rFonts w:cs="Segoe UI"/>
                  <w:b/>
                  <w:iCs/>
                  <w:color w:val="3E1F65"/>
                  <w:u w:val="none"/>
                </w:rPr>
                <w:t>příloze č. 12</w:t>
              </w:r>
            </w:hyperlink>
            <w:r>
              <w:rPr>
                <w:rFonts w:cs="Segoe UI"/>
                <w:iCs/>
              </w:rPr>
              <w:t xml:space="preserve"> pravidel pro žadatele a příjemce</w:t>
            </w:r>
          </w:p>
          <w:p w14:paraId="6C3618A0" w14:textId="77777777" w:rsidR="00493750" w:rsidRDefault="00000000">
            <w:pPr>
              <w:rPr>
                <w:rFonts w:cs="Segoe UI"/>
                <w:color w:val="000000" w:themeColor="text1"/>
              </w:rPr>
            </w:pPr>
            <w:r>
              <w:rPr>
                <w:rFonts w:cs="Segoe UI"/>
                <w:iCs/>
                <w:color w:val="000000" w:themeColor="text1"/>
              </w:rPr>
              <w:t>V případě podpory v režimu bez veřejné podpory je třeba splnit následující podmínky:</w:t>
            </w:r>
          </w:p>
          <w:p w14:paraId="725BA776" w14:textId="77777777" w:rsidR="00493750" w:rsidRDefault="00000000">
            <w:pPr>
              <w:pStyle w:val="Odstavecseseznamem"/>
              <w:numPr>
                <w:ilvl w:val="0"/>
                <w:numId w:val="22"/>
              </w:numPr>
              <w:rPr>
                <w:rFonts w:eastAsia="Segoe UI" w:cs="Segoe UI"/>
                <w:color w:val="000000" w:themeColor="text1"/>
              </w:rPr>
            </w:pPr>
            <w:r>
              <w:rPr>
                <w:rFonts w:cs="Segoe UI"/>
                <w:iCs/>
                <w:color w:val="000000" w:themeColor="text1"/>
              </w:rPr>
              <w:t xml:space="preserve">žadatelem může být pouze subjekt s právní formou </w:t>
            </w:r>
            <w:r>
              <w:rPr>
                <w:rFonts w:eastAsia="Segoe UI" w:cs="Segoe UI"/>
                <w:color w:val="000000" w:themeColor="text1"/>
                <w:szCs w:val="16"/>
              </w:rPr>
              <w:t>nadace, nadačního fondu, ústavu, spolku, pobočného spolku nebo obecně prospěšné společnosti</w:t>
            </w:r>
          </w:p>
          <w:p w14:paraId="41345C05" w14:textId="77777777" w:rsidR="00493750" w:rsidRDefault="00000000">
            <w:pPr>
              <w:pStyle w:val="Odstavecseseznamem"/>
              <w:numPr>
                <w:ilvl w:val="0"/>
                <w:numId w:val="22"/>
              </w:numPr>
              <w:rPr>
                <w:rFonts w:cs="Segoe UI"/>
                <w:color w:val="000000" w:themeColor="text1"/>
                <w:sz w:val="16"/>
                <w:szCs w:val="16"/>
              </w:rPr>
            </w:pPr>
            <w:r>
              <w:rPr>
                <w:rFonts w:eastAsia="Segoe UI" w:cs="Segoe UI"/>
                <w:color w:val="000000" w:themeColor="text1"/>
                <w:szCs w:val="16"/>
              </w:rPr>
              <w:t>minimálně 80 % plochy nebo časové kapacity podpořeného objektu musí být ročně využito pro neekonomické aktivity v souladu s hlavní náplní činnosti/předmětem činnosti žadatele</w:t>
            </w:r>
          </w:p>
          <w:p w14:paraId="10BAF2ED" w14:textId="77777777" w:rsidR="00493750" w:rsidRDefault="00000000">
            <w:pPr>
              <w:pBdr>
                <w:top w:val="nil"/>
                <w:left w:val="nil"/>
                <w:bottom w:val="nil"/>
                <w:right w:val="nil"/>
              </w:pBdr>
              <w:spacing w:after="0"/>
              <w:ind w:left="720"/>
              <w:rPr>
                <w:rFonts w:eastAsia="Segoe UI" w:cs="Segoe UI"/>
                <w:color w:val="000000" w:themeColor="text1"/>
                <w:szCs w:val="20"/>
              </w:rPr>
            </w:pPr>
            <w:r>
              <w:rPr>
                <w:rFonts w:eastAsia="Segoe UI" w:cs="Segoe UI"/>
                <w:color w:val="000000" w:themeColor="text1"/>
                <w:szCs w:val="20"/>
              </w:rPr>
              <w:t>Neekonomickými aktivitami se myslí např.:</w:t>
            </w:r>
          </w:p>
          <w:p w14:paraId="6F063008" w14:textId="77777777" w:rsidR="00493750" w:rsidRDefault="00493750">
            <w:pPr>
              <w:pBdr>
                <w:top w:val="nil"/>
                <w:left w:val="nil"/>
                <w:bottom w:val="nil"/>
                <w:right w:val="nil"/>
              </w:pBdr>
              <w:spacing w:after="0"/>
              <w:ind w:left="720"/>
              <w:rPr>
                <w:rFonts w:cs="Segoe UI"/>
                <w:color w:val="000000" w:themeColor="text1"/>
                <w:szCs w:val="20"/>
              </w:rPr>
            </w:pPr>
          </w:p>
          <w:p w14:paraId="5B6D9D1D" w14:textId="77777777" w:rsidR="00493750" w:rsidRDefault="00000000">
            <w:pPr>
              <w:pBdr>
                <w:top w:val="nil"/>
                <w:left w:val="nil"/>
                <w:bottom w:val="nil"/>
                <w:right w:val="nil"/>
              </w:pBdr>
              <w:spacing w:after="0"/>
              <w:ind w:left="720"/>
              <w:jc w:val="both"/>
              <w:rPr>
                <w:rFonts w:eastAsia="Segoe UI" w:cs="Segoe UI"/>
                <w:color w:val="000000" w:themeColor="text1"/>
                <w:szCs w:val="20"/>
              </w:rPr>
            </w:pPr>
            <w:r>
              <w:rPr>
                <w:rFonts w:eastAsia="Segoe UI" w:cs="Segoe UI"/>
                <w:color w:val="000000" w:themeColor="text1"/>
                <w:szCs w:val="20"/>
              </w:rPr>
              <w:t>1) vlastní činnost spolku (pobočného spolku) financovaná z vnitřních zdrojů spolku (dary, příspěvky, jiné provozní dotace) jiným způsobem než poplatkem za službu;</w:t>
            </w:r>
          </w:p>
          <w:p w14:paraId="17314544" w14:textId="77777777" w:rsidR="00493750" w:rsidRDefault="00493750">
            <w:pPr>
              <w:pBdr>
                <w:top w:val="nil"/>
                <w:left w:val="nil"/>
                <w:bottom w:val="nil"/>
                <w:right w:val="nil"/>
              </w:pBdr>
              <w:spacing w:after="0"/>
              <w:ind w:left="720"/>
              <w:jc w:val="both"/>
              <w:rPr>
                <w:rFonts w:cs="Segoe UI"/>
                <w:color w:val="000000" w:themeColor="text1"/>
                <w:szCs w:val="20"/>
              </w:rPr>
            </w:pPr>
          </w:p>
          <w:p w14:paraId="583B127A" w14:textId="77777777" w:rsidR="00493750" w:rsidRDefault="00000000">
            <w:pPr>
              <w:pBdr>
                <w:top w:val="nil"/>
                <w:left w:val="nil"/>
                <w:bottom w:val="nil"/>
                <w:right w:val="nil"/>
              </w:pBdr>
              <w:spacing w:after="0"/>
              <w:ind w:left="720"/>
              <w:jc w:val="both"/>
              <w:rPr>
                <w:rFonts w:eastAsia="Segoe UI" w:cs="Segoe UI"/>
                <w:color w:val="000000" w:themeColor="text1"/>
                <w:szCs w:val="20"/>
              </w:rPr>
            </w:pPr>
            <w:r>
              <w:rPr>
                <w:rFonts w:eastAsia="Segoe UI" w:cs="Segoe UI"/>
                <w:color w:val="000000" w:themeColor="text1"/>
                <w:szCs w:val="20"/>
              </w:rPr>
              <w:t>2) činnosti neziskového charakteru, za které není vybíráno tržní nebo nákladové vstupné (pronájmy či obdobné služby založené na tržním charakteru, byť k neziskovým účelům, jsou považovány za ekonomickou činnost).</w:t>
            </w:r>
          </w:p>
          <w:p w14:paraId="6D40A4D0" w14:textId="77777777" w:rsidR="00493750" w:rsidRDefault="00493750">
            <w:pPr>
              <w:pBdr>
                <w:top w:val="nil"/>
                <w:left w:val="nil"/>
                <w:bottom w:val="nil"/>
                <w:right w:val="nil"/>
              </w:pBdr>
              <w:spacing w:after="0"/>
              <w:ind w:left="720"/>
              <w:rPr>
                <w:rFonts w:cs="Segoe UI"/>
                <w:szCs w:val="20"/>
              </w:rPr>
            </w:pPr>
          </w:p>
          <w:p w14:paraId="63FFBF3D" w14:textId="77777777" w:rsidR="00493750" w:rsidRDefault="00000000">
            <w:pPr>
              <w:pStyle w:val="Odstavecseseznamem"/>
              <w:numPr>
                <w:ilvl w:val="0"/>
                <w:numId w:val="22"/>
              </w:numPr>
              <w:rPr>
                <w:rFonts w:cs="Segoe UI"/>
                <w:color w:val="000000" w:themeColor="text1"/>
                <w:sz w:val="16"/>
                <w:szCs w:val="16"/>
              </w:rPr>
            </w:pPr>
            <w:r>
              <w:rPr>
                <w:rFonts w:eastAsia="Segoe UI" w:cs="Segoe UI"/>
                <w:color w:val="000000" w:themeColor="text1"/>
                <w:szCs w:val="16"/>
              </w:rPr>
              <w:t>není třeba předkládat čestné prohlášení k inkasnímu příkazu</w:t>
            </w:r>
          </w:p>
          <w:p w14:paraId="655874C7" w14:textId="77777777" w:rsidR="00493750" w:rsidRDefault="00000000">
            <w:pPr>
              <w:pStyle w:val="Odstavecseseznamem"/>
              <w:numPr>
                <w:ilvl w:val="0"/>
                <w:numId w:val="22"/>
              </w:numPr>
              <w:rPr>
                <w:rFonts w:cs="Segoe UI"/>
                <w:color w:val="000000" w:themeColor="text1"/>
                <w:sz w:val="16"/>
                <w:szCs w:val="16"/>
              </w:rPr>
            </w:pPr>
            <w:r>
              <w:rPr>
                <w:rFonts w:eastAsia="Segoe UI" w:cs="Segoe UI"/>
                <w:color w:val="000000" w:themeColor="text1"/>
                <w:szCs w:val="16"/>
              </w:rPr>
              <w:t>nedochází k odečtu provozního zisku investice od způsobilých výdajů a není třeba zpracovávat CBA analýzu.</w:t>
            </w:r>
          </w:p>
        </w:tc>
      </w:tr>
    </w:tbl>
    <w:p w14:paraId="3F72E902" w14:textId="77777777" w:rsidR="00493750" w:rsidRDefault="00000000">
      <w:pPr>
        <w:pStyle w:val="Podtitul11"/>
      </w:pPr>
      <w:r>
        <w:t>PODAKTIVITA 2.1 – Výstavba a modernizace multifunkčních rekreačních areálů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93750" w14:paraId="56E9DD75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61D622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Typ rekreačního areálu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991C" w14:textId="77777777" w:rsidR="00493750" w:rsidRDefault="00000000">
            <w:pPr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>Vyberte alespoň jednu z možností.</w:t>
            </w:r>
          </w:p>
          <w:p w14:paraId="2EDEC14E" w14:textId="77777777" w:rsidR="00493750" w:rsidRDefault="00000000">
            <w:pPr>
              <w:spacing w:before="240"/>
              <w:rPr>
                <w:rStyle w:val="docdata"/>
                <w:rFonts w:cs="Segoe UI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13502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pláž</w:t>
            </w:r>
          </w:p>
          <w:p w14:paraId="32AAAA06" w14:textId="77777777" w:rsidR="00493750" w:rsidRDefault="00000000">
            <w:pPr>
              <w:spacing w:before="240"/>
              <w:rPr>
                <w:rStyle w:val="docdata"/>
                <w:rFonts w:cs="Segoe UI"/>
                <w:color w:val="000000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13706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kemp</w:t>
            </w:r>
          </w:p>
          <w:p w14:paraId="5849761B" w14:textId="77777777" w:rsidR="00493750" w:rsidRDefault="00000000">
            <w:pPr>
              <w:spacing w:before="240"/>
              <w:rPr>
                <w:rStyle w:val="docdata"/>
                <w:rFonts w:cs="Segoe UI"/>
                <w:color w:val="000000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202644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tábořiště</w:t>
            </w:r>
          </w:p>
          <w:p w14:paraId="1544C00E" w14:textId="77777777" w:rsidR="00493750" w:rsidRDefault="00000000">
            <w:pPr>
              <w:spacing w:before="240"/>
              <w:rPr>
                <w:rFonts w:cs="Segoe UI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-20603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přírodní koupaliště</w:t>
            </w:r>
          </w:p>
          <w:p w14:paraId="09888F30" w14:textId="77777777" w:rsidR="00493750" w:rsidRDefault="00000000">
            <w:pPr>
              <w:spacing w:before="240"/>
              <w:rPr>
                <w:rFonts w:cs="Segoe UI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-47221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výletiště</w:t>
            </w:r>
          </w:p>
        </w:tc>
      </w:tr>
      <w:tr w:rsidR="00493750" w14:paraId="1B5A722D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E1B41C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Popis rekreačního areálu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7182" w14:textId="77777777" w:rsidR="00493750" w:rsidRDefault="00000000">
            <w:pPr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>Popište a blíže zdůvodněte o jaký typ rekreačního areálu se jedná (v návaznosti na výběr kategorie výše).</w:t>
            </w:r>
          </w:p>
        </w:tc>
      </w:tr>
      <w:tr w:rsidR="00493750" w14:paraId="60A8C986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DAFC0A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Další komentáře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07B7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V případě potřeby uveďte další komentáře či zpřesnění.</w:t>
            </w:r>
          </w:p>
        </w:tc>
      </w:tr>
      <w:tr w:rsidR="00493750" w14:paraId="5D8E0930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4815E9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Veřejná podpora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6BA0" w14:textId="77777777" w:rsidR="00493750" w:rsidRDefault="00000000">
            <w:pPr>
              <w:spacing w:before="240"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>Podporu poskytujeme v režimu blokové výjimky – článek 55 podpora na sportovní a multifunkční rekreační infrastrukturu. Z toho vyplývají následující doplňující podmínky:</w:t>
            </w:r>
          </w:p>
          <w:p w14:paraId="2496CD1E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kromě standardních příloh k žádosti je nezbytné předložit i </w:t>
            </w:r>
            <w:hyperlink r:id="rId16" w:tooltip="https://opst.cz/dokumenty/ostatni-dokumenty/" w:history="1">
              <w:r w:rsidR="00493750">
                <w:rPr>
                  <w:rStyle w:val="Hypertextovodkaz"/>
                  <w:rFonts w:cs="Segoe UI"/>
                  <w:b/>
                  <w:iCs/>
                  <w:color w:val="3E1F65"/>
                </w:rPr>
                <w:t>čestné prohlášení k inkasnímu příkazu</w:t>
              </w:r>
            </w:hyperlink>
          </w:p>
          <w:p w14:paraId="4847B244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případný provozovatel musí být vybrán v transparentním výběrovém řízení</w:t>
            </w:r>
          </w:p>
          <w:p w14:paraId="018EC7A7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od způsobilých výdajů se odečítá provozní zisk investice – provozní příjmy a náklady zadávejte při podávání žádosti v ISKP do modulu CBA; návod pro vyplnění naleznete v </w:t>
            </w:r>
            <w:hyperlink r:id="rId17" w:tooltip="https://opst.cz/dokument/3666" w:history="1">
              <w:r w:rsidR="00493750">
                <w:rPr>
                  <w:rStyle w:val="Hypertextovodkaz"/>
                  <w:rFonts w:cs="Segoe UI"/>
                  <w:b/>
                  <w:iCs/>
                  <w:color w:val="3E1F65"/>
                  <w:u w:val="none"/>
                </w:rPr>
                <w:t>příloze č. 12</w:t>
              </w:r>
            </w:hyperlink>
            <w:r>
              <w:rPr>
                <w:rFonts w:cs="Segoe UI"/>
                <w:iCs/>
              </w:rPr>
              <w:t xml:space="preserve"> pravidel pro žadatele a příjemce</w:t>
            </w:r>
          </w:p>
        </w:tc>
      </w:tr>
    </w:tbl>
    <w:p w14:paraId="2D036722" w14:textId="77777777" w:rsidR="00493750" w:rsidRDefault="00493750">
      <w:pPr>
        <w:pStyle w:val="Podtitul11"/>
        <w:numPr>
          <w:ilvl w:val="0"/>
          <w:numId w:val="0"/>
        </w:numPr>
      </w:pPr>
    </w:p>
    <w:p w14:paraId="7698497B" w14:textId="77777777" w:rsidR="00493750" w:rsidRDefault="00000000">
      <w:pPr>
        <w:pStyle w:val="Podtitul11"/>
      </w:pPr>
      <w:r>
        <w:t>PODAKTIVITA 2.2 – výstavba a modernizace venkovních sportovišť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93750" w14:paraId="67F4D019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47F47C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Přístupnost veřejnosti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1C2E" w14:textId="77777777" w:rsidR="00493750" w:rsidRDefault="00000000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Popište, jakým způsobem a v jakém režimu bude sportoviště přístupné veřejnosti.</w:t>
            </w:r>
          </w:p>
        </w:tc>
      </w:tr>
      <w:tr w:rsidR="00493750" w14:paraId="173060C8" w14:textId="77777777">
        <w:trPr>
          <w:trHeight w:val="84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7E6E6" w:themeFill="background2"/>
            <w:vAlign w:val="center"/>
          </w:tcPr>
          <w:p w14:paraId="35E0428C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Modernizace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65CB2C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Pokud se jedná o modernizaci sportoviště, popište, v čem modernizace spočívá.</w:t>
            </w:r>
          </w:p>
        </w:tc>
      </w:tr>
      <w:tr w:rsidR="00493750" w14:paraId="3F3AF362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FD8DA2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Další komentáře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4370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V případě potřeby uveďte další komentáře či zpřesnění.</w:t>
            </w:r>
          </w:p>
        </w:tc>
      </w:tr>
      <w:tr w:rsidR="00493750" w14:paraId="1518E29D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97CC52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lastRenderedPageBreak/>
              <w:t>Veřejná podpora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37D7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>Pravidla pro veřejnou podporu se neuplatňují. Předmětem podpory jsou veřejně přístupná sportoviště, kde není vybírán poplatek za vstup nebo využití.</w:t>
            </w:r>
          </w:p>
        </w:tc>
      </w:tr>
    </w:tbl>
    <w:p w14:paraId="76BA5AA7" w14:textId="77777777" w:rsidR="00493750" w:rsidRDefault="00493750">
      <w:pPr>
        <w:pStyle w:val="Podtitul11"/>
        <w:numPr>
          <w:ilvl w:val="0"/>
          <w:numId w:val="0"/>
        </w:numPr>
      </w:pPr>
    </w:p>
    <w:p w14:paraId="6634B828" w14:textId="77777777" w:rsidR="00493750" w:rsidRDefault="00000000">
      <w:pPr>
        <w:pStyle w:val="Podtitul11"/>
      </w:pPr>
      <w:r>
        <w:t>PODAKTIVITA 2.3 - Výstavba a modernizace návštěvnických a informačních středisek ve vazbě na hornické dědictví a území zasažené těžbou uhlí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93750" w14:paraId="313E4AFA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89C5F4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Poskytování informací v informačním středisku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D8F0" w14:textId="77777777" w:rsidR="00493750" w:rsidRDefault="00000000">
            <w:pPr>
              <w:rPr>
                <w:rFonts w:cs="Segoe UI"/>
                <w:i/>
                <w:szCs w:val="20"/>
              </w:rPr>
            </w:pPr>
            <w:r>
              <w:rPr>
                <w:rFonts w:cs="Segoe UI"/>
                <w:i/>
                <w:szCs w:val="20"/>
              </w:rPr>
              <w:t>Stručně popište, jaké typy informací bude návštěvnické středisko poskytovat (např. informace o území po těžbě, informace o kulturních aktivitách, informace o sportovních aktivitách, informace o rekreačních aktivitách)</w:t>
            </w:r>
          </w:p>
        </w:tc>
      </w:tr>
      <w:tr w:rsidR="00493750" w14:paraId="4FF74602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CF1FDA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Další komentáře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CF87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V případě potřeby uveďte další komentáře či zpřesnění.</w:t>
            </w:r>
          </w:p>
        </w:tc>
      </w:tr>
      <w:tr w:rsidR="00493750" w14:paraId="34A05902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459E01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Veřejná podpora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800D" w14:textId="77777777" w:rsidR="00493750" w:rsidRPr="008F6E91" w:rsidRDefault="00000000">
            <w:pPr>
              <w:spacing w:before="240"/>
              <w:rPr>
                <w:rFonts w:cs="Segoe UI"/>
                <w:iCs/>
                <w:szCs w:val="20"/>
              </w:rPr>
            </w:pPr>
            <w:r w:rsidRPr="008F6E91">
              <w:rPr>
                <w:rFonts w:cs="Segoe UI"/>
                <w:iCs/>
                <w:szCs w:val="20"/>
              </w:rPr>
              <w:t>Vzhledem k charakteru projektů, kdy se jedná o obecnou propagaci území a aktivit nikoliv konkrétních podniků, bude dotace pro většinu žadatelů poskytována mimo rámec veřejné podpory.</w:t>
            </w:r>
          </w:p>
          <w:p w14:paraId="1AFC5DF3" w14:textId="77777777" w:rsidR="00493750" w:rsidRPr="008F6E91" w:rsidRDefault="00000000">
            <w:pPr>
              <w:spacing w:before="240"/>
              <w:rPr>
                <w:rFonts w:cs="Segoe UI"/>
                <w:iCs/>
                <w:szCs w:val="20"/>
              </w:rPr>
            </w:pPr>
            <w:r w:rsidRPr="008F6E91">
              <w:rPr>
                <w:rFonts w:cs="Segoe UI"/>
                <w:iCs/>
                <w:szCs w:val="20"/>
              </w:rPr>
              <w:t>Podmínky poskytnutí podpory mimo rámec veřejné podpory v rámci této aktivity:</w:t>
            </w:r>
          </w:p>
          <w:p w14:paraId="5EACE40E" w14:textId="77777777" w:rsidR="00493750" w:rsidRPr="008F6E91" w:rsidRDefault="00000000">
            <w:pPr>
              <w:pStyle w:val="Odstavecseseznamem"/>
              <w:numPr>
                <w:ilvl w:val="0"/>
                <w:numId w:val="36"/>
              </w:numPr>
              <w:spacing w:before="240"/>
              <w:rPr>
                <w:rFonts w:cs="Segoe UI"/>
                <w:iCs/>
              </w:rPr>
            </w:pPr>
            <w:r w:rsidRPr="008F6E91">
              <w:rPr>
                <w:rFonts w:cs="Segoe UI"/>
                <w:iCs/>
              </w:rPr>
              <w:t>Návštěvnické středisko je volně přístupné bez poplatku či vstupného</w:t>
            </w:r>
          </w:p>
          <w:p w14:paraId="29B5D071" w14:textId="77777777" w:rsidR="00493750" w:rsidRPr="008F6E91" w:rsidRDefault="00000000">
            <w:pPr>
              <w:pStyle w:val="Odstavecseseznamem"/>
              <w:numPr>
                <w:ilvl w:val="0"/>
                <w:numId w:val="36"/>
              </w:numPr>
              <w:spacing w:before="240"/>
              <w:rPr>
                <w:rFonts w:cs="Segoe UI"/>
                <w:iCs/>
              </w:rPr>
            </w:pPr>
            <w:r w:rsidRPr="008F6E91">
              <w:rPr>
                <w:rFonts w:cs="Segoe UI"/>
                <w:iCs/>
              </w:rPr>
              <w:t>Nedochází k bezplatné propagaci konkrétních podniků/služeb</w:t>
            </w:r>
          </w:p>
          <w:p w14:paraId="3F0A5358" w14:textId="77777777" w:rsidR="00493750" w:rsidRPr="008F6E91" w:rsidRDefault="00000000">
            <w:pPr>
              <w:pStyle w:val="Odstavecseseznamem"/>
              <w:numPr>
                <w:ilvl w:val="0"/>
                <w:numId w:val="36"/>
              </w:numPr>
              <w:spacing w:before="240"/>
              <w:rPr>
                <w:rFonts w:cs="Segoe UI"/>
                <w:iCs/>
              </w:rPr>
            </w:pPr>
            <w:r w:rsidRPr="008F6E91">
              <w:rPr>
                <w:rFonts w:cs="Segoe UI"/>
                <w:iCs/>
              </w:rPr>
              <w:t>Případný prodej suvenýrů nebo drobného občerstvení má pouze doplňkový charakter a nepředstavuje více než 20 % plochy nebo kapacity návštěvnického střediska.</w:t>
            </w:r>
          </w:p>
          <w:p w14:paraId="0A2C3E13" w14:textId="77777777" w:rsidR="00493750" w:rsidRPr="008F6E91" w:rsidRDefault="00000000">
            <w:pPr>
              <w:pStyle w:val="Odstavecseseznamem"/>
              <w:numPr>
                <w:ilvl w:val="0"/>
                <w:numId w:val="36"/>
              </w:numPr>
              <w:spacing w:before="240"/>
              <w:rPr>
                <w:rFonts w:cs="Segoe UI"/>
                <w:iCs/>
              </w:rPr>
            </w:pPr>
            <w:r w:rsidRPr="008F6E91">
              <w:rPr>
                <w:rFonts w:cs="Segoe UI"/>
                <w:iCs/>
              </w:rPr>
              <w:t>Případný provozovatel je vybrán transparentním způsobem</w:t>
            </w:r>
          </w:p>
          <w:p w14:paraId="458C5B88" w14:textId="27C80B2B" w:rsidR="00AD6172" w:rsidRPr="008F6E91" w:rsidRDefault="00000000" w:rsidP="00AD6172">
            <w:pPr>
              <w:spacing w:before="240"/>
              <w:rPr>
                <w:rFonts w:cs="Segoe UI"/>
                <w:iCs/>
                <w:szCs w:val="20"/>
              </w:rPr>
            </w:pPr>
            <w:r w:rsidRPr="008F6E91">
              <w:rPr>
                <w:rFonts w:cs="Segoe UI"/>
                <w:iCs/>
                <w:szCs w:val="20"/>
              </w:rPr>
              <w:t>Projekty podniků, nebo projekty nesplňující všechny výše uvedené podmínky</w:t>
            </w:r>
            <w:r w:rsidR="00216286" w:rsidRPr="008F6E91">
              <w:rPr>
                <w:rFonts w:cs="Segoe UI"/>
                <w:iCs/>
                <w:szCs w:val="20"/>
              </w:rPr>
              <w:t>,</w:t>
            </w:r>
            <w:r w:rsidRPr="008F6E91">
              <w:rPr>
                <w:rFonts w:cs="Segoe UI"/>
                <w:iCs/>
                <w:szCs w:val="20"/>
              </w:rPr>
              <w:t xml:space="preserve"> budou individuálně posouzeny a alternativně podpořeny v režimu de minimis.</w:t>
            </w:r>
          </w:p>
        </w:tc>
      </w:tr>
    </w:tbl>
    <w:p w14:paraId="06836B16" w14:textId="77777777" w:rsidR="00493750" w:rsidRDefault="00493750">
      <w:pPr>
        <w:pStyle w:val="Podtitul11"/>
        <w:numPr>
          <w:ilvl w:val="0"/>
          <w:numId w:val="0"/>
        </w:numPr>
      </w:pPr>
    </w:p>
    <w:p w14:paraId="7AAFD7CC" w14:textId="77777777" w:rsidR="00493750" w:rsidRDefault="00000000">
      <w:pPr>
        <w:pStyle w:val="Podtitul11"/>
      </w:pPr>
      <w:r>
        <w:t>PODAKTIVITA 3.1 – regenerace brownfieldů pro účely s veřejným zájmem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93750" w14:paraId="4240E3C3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F69EC7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Typ regenerace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00E5" w14:textId="77777777" w:rsidR="00493750" w:rsidRDefault="00000000">
            <w:pPr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>Vyberte jednu z možností.</w:t>
            </w:r>
          </w:p>
          <w:p w14:paraId="78CD51C4" w14:textId="77777777" w:rsidR="00493750" w:rsidRDefault="00000000">
            <w:sdt>
              <w:sdtPr>
                <w:rPr>
                  <w:rFonts w:cs="Segoe UI"/>
                </w:rPr>
                <w:id w:val="8689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cs="Segoe UI"/>
              </w:rPr>
              <w:t xml:space="preserve"> škola</w:t>
            </w:r>
            <w:r>
              <w:rPr>
                <w:rStyle w:val="Znakapoznpodarou"/>
              </w:rPr>
              <w:footnoteReference w:id="1"/>
            </w:r>
            <w:r>
              <w:t>, vysoká škola</w:t>
            </w:r>
            <w:r>
              <w:rPr>
                <w:rStyle w:val="Znakapoznpodarou"/>
              </w:rPr>
              <w:footnoteReference w:id="2"/>
            </w:r>
            <w:r>
              <w:t>, školské zařízení</w:t>
            </w:r>
            <w:r>
              <w:rPr>
                <w:rStyle w:val="Znakapoznpodarou"/>
              </w:rPr>
              <w:footnoteReference w:id="3"/>
            </w:r>
          </w:p>
          <w:p w14:paraId="77C6C0B7" w14:textId="77777777" w:rsidR="00493750" w:rsidRDefault="00000000">
            <w:sdt>
              <w:sdtPr>
                <w:id w:val="5710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zdravotnické zařízení</w:t>
            </w:r>
            <w:r>
              <w:rPr>
                <w:rStyle w:val="Znakapoznpodarou"/>
              </w:rPr>
              <w:footnoteReference w:id="4"/>
            </w:r>
            <w:r>
              <w:t xml:space="preserve"> a zařízení sociálních služeb</w:t>
            </w:r>
            <w:r>
              <w:rPr>
                <w:rStyle w:val="Znakapoznpodarou"/>
              </w:rPr>
              <w:footnoteReference w:id="5"/>
            </w:r>
          </w:p>
          <w:p w14:paraId="1EDC17B5" w14:textId="77777777" w:rsidR="00493750" w:rsidRDefault="00000000">
            <w:pPr>
              <w:spacing w:before="240"/>
              <w:rPr>
                <w:rStyle w:val="docdata"/>
                <w:rFonts w:cs="Segoe UI"/>
                <w:color w:val="000000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-139342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budova veřejné správy</w:t>
            </w:r>
          </w:p>
          <w:p w14:paraId="7C862B87" w14:textId="77777777" w:rsidR="00493750" w:rsidRDefault="00000000">
            <w:pPr>
              <w:rPr>
                <w:rFonts w:cs="Segoe UI"/>
                <w:i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104564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veřejné prostranství</w:t>
            </w:r>
          </w:p>
        </w:tc>
      </w:tr>
      <w:tr w:rsidR="00493750" w14:paraId="00D5B333" w14:textId="77777777">
        <w:trPr>
          <w:trHeight w:val="84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6E8449" w14:textId="77777777" w:rsidR="00493750" w:rsidRDefault="00000000">
            <w:pPr>
              <w:spacing w:before="24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Soulad s místním akčním plánem vzdělávání/krajským akčním plánem vzdělávání </w:t>
            </w:r>
            <w:r>
              <w:rPr>
                <w:rFonts w:cs="Segoe UI"/>
                <w:bCs/>
                <w:szCs w:val="20"/>
              </w:rPr>
              <w:t>(</w:t>
            </w:r>
            <w:r>
              <w:rPr>
                <w:rFonts w:cs="Segoe UI"/>
                <w:bCs/>
                <w:i/>
                <w:szCs w:val="20"/>
              </w:rPr>
              <w:t>Vyplňte pouze v případě realizace mateřské, základní školy nebo střední školy</w:t>
            </w:r>
            <w:r>
              <w:rPr>
                <w:rFonts w:cs="Segoe UI"/>
                <w:bCs/>
                <w:szCs w:val="20"/>
              </w:rPr>
              <w:t>)</w:t>
            </w:r>
          </w:p>
        </w:tc>
      </w:tr>
      <w:tr w:rsidR="00493750" w14:paraId="217B30B0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48545E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Název SR MAP/SR KAP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D66" w14:textId="77777777" w:rsidR="00493750" w:rsidRDefault="00000000">
            <w:pPr>
              <w:rPr>
                <w:rFonts w:cs="Segoe UI"/>
                <w:i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název SR MAP/SR KAP. </w:t>
            </w:r>
          </w:p>
        </w:tc>
      </w:tr>
      <w:tr w:rsidR="00493750" w14:paraId="5DC13E2D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079E17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Datum schválení aktuálně platného SR MAP/SR KAP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9D23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Uveďte datum schválení SR MAP/SR KAP platného v době podání žádosti o podporu.</w:t>
            </w:r>
          </w:p>
        </w:tc>
      </w:tr>
      <w:tr w:rsidR="00493750" w14:paraId="0C423496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7B24DB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Název projektu (investiční priority) uvedený v SR MAP/SR KAP, na který se předložený projekt odkazuje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BD99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název projektu (investiční priority) uvedený v SR MAP / SR KAP, na který se předložený projekt odkazuje. </w:t>
            </w:r>
          </w:p>
          <w:p w14:paraId="491380D5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Pozn.: Pokud se předložený projekt odkazuje na více projektů uvedených v MAP/KAP, uveďte všechny relevantní; název projektu předloženého do OPST nemusí 1:1 odpovídat názvu projektu uvedeného v SR MAP/SR KAP, ale svým charakterem musí předložený projekt odpovídat investiční prioritě v SR MAP/SR KAP.</w:t>
            </w:r>
          </w:p>
        </w:tc>
      </w:tr>
      <w:tr w:rsidR="00493750" w14:paraId="0FCD95A7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E823B9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Číslo řádku, na kterém projekt v SR MAP/SR KAP uveden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6A1D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číslo řádku, na kterém je projekt v SR MAP/SR KAP uveden. </w:t>
            </w:r>
          </w:p>
          <w:p w14:paraId="2A86C8AE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Pozn.: pokud se předložený projekt odkazuje na více projektů uvedených v MAP/KAP, uveďte všechny relevantní.</w:t>
            </w:r>
          </w:p>
        </w:tc>
      </w:tr>
      <w:tr w:rsidR="00493750" w14:paraId="68ECCF82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F2E45C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Veřejná podpora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7C34" w14:textId="77777777" w:rsidR="00493750" w:rsidRDefault="00000000">
            <w:p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  <w:szCs w:val="20"/>
              </w:rPr>
              <w:t>Pro většinu projektů se neuplatňují pravidla pro veřejnou podporu.</w:t>
            </w:r>
          </w:p>
          <w:p w14:paraId="51BCCE7A" w14:textId="77777777" w:rsidR="00493750" w:rsidRDefault="00000000">
            <w:pPr>
              <w:spacing w:before="240"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lastRenderedPageBreak/>
              <w:t>Výjimku tvoří</w:t>
            </w:r>
            <w:r>
              <w:t xml:space="preserve"> </w:t>
            </w:r>
            <w:r>
              <w:rPr>
                <w:rFonts w:cs="Segoe UI"/>
                <w:iCs/>
              </w:rPr>
              <w:t>komerčně využívané budovy (např. prostory pro zdravotnická zařízení a zařízení sociálních služeb, školy financované převážené soukromým sektorem), u kterých podporu poskytujeme v režimu blokové výjimky – článek 56 investiční podpora na místní infrastrukturu</w:t>
            </w:r>
          </w:p>
          <w:p w14:paraId="5349F443" w14:textId="77777777" w:rsidR="00493750" w:rsidRDefault="00000000">
            <w:pPr>
              <w:spacing w:before="240"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</w:rPr>
              <w:t xml:space="preserve">Pro </w:t>
            </w:r>
            <w:r>
              <w:rPr>
                <w:rFonts w:cs="Segoe UI"/>
                <w:b/>
                <w:iCs/>
              </w:rPr>
              <w:t>všechny projekty s podporou dle čl. 56</w:t>
            </w:r>
            <w:r>
              <w:rPr>
                <w:rFonts w:cs="Segoe UI"/>
                <w:iCs/>
              </w:rPr>
              <w:t xml:space="preserve"> platí </w:t>
            </w:r>
            <w:r>
              <w:rPr>
                <w:rFonts w:cs="Segoe UI"/>
                <w:iCs/>
                <w:szCs w:val="20"/>
              </w:rPr>
              <w:t>následující doplňující podmínky:</w:t>
            </w:r>
          </w:p>
          <w:p w14:paraId="572C954A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kromě standardních příloh k žádosti je nezbytné předložit i </w:t>
            </w:r>
            <w:hyperlink r:id="rId18" w:tooltip="https://opst.cz/dokumenty/ostatni-dokumenty/" w:history="1">
              <w:r w:rsidR="00493750">
                <w:rPr>
                  <w:rStyle w:val="Hypertextovodkaz"/>
                  <w:rFonts w:cs="Segoe UI"/>
                  <w:b/>
                  <w:iCs/>
                  <w:color w:val="3E1F65"/>
                </w:rPr>
                <w:t>čestné prohlášení k inkasnímu příkazu</w:t>
              </w:r>
            </w:hyperlink>
          </w:p>
          <w:p w14:paraId="646827C0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od způsobilých výdajů se odečítá provozní zisk investice – provozní příjmy a náklady zadávejte při podávání žádosti v ISKP do modulu CBA; návod pro vyplnění naleznete v </w:t>
            </w:r>
            <w:hyperlink r:id="rId19" w:tooltip="https://opst.cz/dokument/3666" w:history="1">
              <w:r w:rsidR="00493750">
                <w:rPr>
                  <w:rStyle w:val="Hypertextovodkaz"/>
                  <w:rFonts w:cs="Segoe UI"/>
                  <w:b/>
                  <w:iCs/>
                  <w:color w:val="3E1F65"/>
                  <w:u w:val="none"/>
                </w:rPr>
                <w:t>příloze č. 12</w:t>
              </w:r>
            </w:hyperlink>
            <w:r>
              <w:rPr>
                <w:rFonts w:cs="Segoe UI"/>
                <w:iCs/>
              </w:rPr>
              <w:t xml:space="preserve"> pravidel pro žadatele a příjemce</w:t>
            </w:r>
          </w:p>
          <w:p w14:paraId="0AC9D1DC" w14:textId="77777777" w:rsidR="00493750" w:rsidRDefault="00000000">
            <w:p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Pro projekty s podporou dle čl. 56 dále platí:</w:t>
            </w:r>
          </w:p>
          <w:p w14:paraId="7B84A7FB" w14:textId="77777777" w:rsidR="00493750" w:rsidRDefault="00000000">
            <w:pPr>
              <w:pStyle w:val="Odstavecseseznamem"/>
              <w:numPr>
                <w:ilvl w:val="0"/>
                <w:numId w:val="20"/>
              </w:numPr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podpořená infrastrukturu musí být uživatelům k dispozici za otevřených, transparentních a nediskriminačních podmínek</w:t>
            </w:r>
          </w:p>
          <w:p w14:paraId="2B2D37D4" w14:textId="77777777" w:rsidR="00493750" w:rsidRDefault="00000000">
            <w:pPr>
              <w:pStyle w:val="Odstavecseseznamem"/>
              <w:numPr>
                <w:ilvl w:val="0"/>
                <w:numId w:val="20"/>
              </w:numPr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nájemné musí odpovídat tržním cenám v čase a místě obvyklém</w:t>
            </w:r>
          </w:p>
          <w:p w14:paraId="00C38C5F" w14:textId="77777777" w:rsidR="00493750" w:rsidRDefault="00000000">
            <w:pPr>
              <w:pStyle w:val="Odstavecseseznamem"/>
              <w:numPr>
                <w:ilvl w:val="0"/>
                <w:numId w:val="20"/>
              </w:numPr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případný provozovatel musí být vybrán v transparentním výběrovém řízení</w:t>
            </w:r>
          </w:p>
        </w:tc>
      </w:tr>
    </w:tbl>
    <w:p w14:paraId="5FE19481" w14:textId="77777777" w:rsidR="00493750" w:rsidRDefault="00493750">
      <w:pPr>
        <w:rPr>
          <w:rFonts w:eastAsia="Times New Roman" w:cs="Segoe UI"/>
          <w:color w:val="595959" w:themeColor="text1" w:themeTint="A6"/>
          <w:szCs w:val="20"/>
          <w:highlight w:val="white"/>
        </w:rPr>
      </w:pPr>
    </w:p>
    <w:p w14:paraId="6C0AFBD7" w14:textId="77777777" w:rsidR="00493750" w:rsidRDefault="00000000">
      <w:pPr>
        <w:pStyle w:val="Podtitul11"/>
        <w:rPr>
          <w:highlight w:val="white"/>
        </w:rPr>
      </w:pPr>
      <w:r>
        <w:rPr>
          <w:highlight w:val="white"/>
        </w:rPr>
        <w:t>Doplňující informace pro oblast veřejné podpory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93750" w14:paraId="0CBAD1EF" w14:textId="77777777">
        <w:trPr>
          <w:trHeight w:val="84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vAlign w:val="center"/>
          </w:tcPr>
          <w:p w14:paraId="7C6C6548" w14:textId="77777777" w:rsidR="00493750" w:rsidRDefault="00000000">
            <w:pPr>
              <w:pStyle w:val="Odstavecseseznamem"/>
              <w:numPr>
                <w:ilvl w:val="0"/>
                <w:numId w:val="34"/>
              </w:numPr>
              <w:spacing w:before="120"/>
              <w:rPr>
                <w:rFonts w:cs="Segoe UI"/>
                <w:color w:val="000000" w:themeColor="text1"/>
              </w:rPr>
            </w:pPr>
            <w:r>
              <w:rPr>
                <w:rFonts w:cs="Segoe UI"/>
                <w:color w:val="000000" w:themeColor="text1"/>
              </w:rPr>
              <w:t>V jedné žádosti nelze kombinovat opatření spadající mimo režim veřejné podpory a do režimu veřejné podpory (případně kombinující různé režimy veřejné podpory).</w:t>
            </w:r>
          </w:p>
          <w:p w14:paraId="657676DC" w14:textId="77777777" w:rsidR="00493750" w:rsidRDefault="00000000">
            <w:pPr>
              <w:pStyle w:val="Odstavecseseznamem"/>
              <w:numPr>
                <w:ilvl w:val="0"/>
                <w:numId w:val="35"/>
              </w:numPr>
              <w:rPr>
                <w:rFonts w:cs="Segoe UI"/>
                <w:color w:val="000000" w:themeColor="text1"/>
              </w:rPr>
            </w:pPr>
            <w:r>
              <w:rPr>
                <w:rFonts w:cs="Segoe UI"/>
                <w:color w:val="000000" w:themeColor="text1"/>
              </w:rPr>
              <w:t>V případě, kdy projektový záměr obsahuje více opatření, z nichž některé by mohlo být financováno mimo veřejnou podporu zároveň s opatřením, které pod veřejnou podporu spadá, bude celý projekt financován v režimu příslušné veřejné podpory. Takový projekt je možné rozdělit do dvou žádostí tak, aby část, která veřejnou podporu nezakládá mohla být financována mimo VP. Případné rozdělení musí být finančně i indikátorově popsáno a předem konzultováno se Statním fondem životního prostředí.</w:t>
            </w:r>
          </w:p>
        </w:tc>
      </w:tr>
      <w:tr w:rsidR="00493750" w14:paraId="07152220" w14:textId="77777777">
        <w:trPr>
          <w:trHeight w:val="84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7E6E6" w:themeFill="background2"/>
            <w:vAlign w:val="center"/>
          </w:tcPr>
          <w:p w14:paraId="76146289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eastAsia="Segoe UI" w:cs="Segoe UI"/>
                <w:b/>
                <w:bCs/>
                <w:color w:val="000000" w:themeColor="text1"/>
                <w:szCs w:val="20"/>
              </w:rPr>
              <w:t>Kritéria pro stanovení, zda financování projektu představuje veřejnou podporu, či nikoli (uvedené i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 xml:space="preserve">nformace jsou relevantní zejména pro </w:t>
            </w:r>
            <w:proofErr w:type="spellStart"/>
            <w:r>
              <w:rPr>
                <w:rFonts w:cs="Segoe UI"/>
                <w:b/>
                <w:bCs/>
                <w:color w:val="000000" w:themeColor="text1"/>
                <w:szCs w:val="20"/>
              </w:rPr>
              <w:t>podaktivitu</w:t>
            </w:r>
            <w:proofErr w:type="spellEnd"/>
            <w:r>
              <w:rPr>
                <w:rFonts w:cs="Segoe UI"/>
                <w:b/>
                <w:bCs/>
                <w:color w:val="000000" w:themeColor="text1"/>
                <w:szCs w:val="20"/>
              </w:rPr>
              <w:t xml:space="preserve"> 3.1, případně pro </w:t>
            </w:r>
            <w:proofErr w:type="spellStart"/>
            <w:r>
              <w:rPr>
                <w:rFonts w:cs="Segoe UI"/>
                <w:b/>
                <w:bCs/>
                <w:color w:val="000000" w:themeColor="text1"/>
                <w:szCs w:val="20"/>
              </w:rPr>
              <w:t>podaktivitu</w:t>
            </w:r>
            <w:proofErr w:type="spellEnd"/>
            <w:r>
              <w:rPr>
                <w:rFonts w:cs="Segoe UI"/>
                <w:b/>
                <w:bCs/>
                <w:color w:val="000000" w:themeColor="text1"/>
                <w:szCs w:val="20"/>
              </w:rPr>
              <w:t xml:space="preserve"> 1.3)</w:t>
            </w:r>
          </w:p>
        </w:tc>
      </w:tr>
      <w:tr w:rsidR="00493750" w14:paraId="1D3B77C3" w14:textId="77777777">
        <w:trPr>
          <w:trHeight w:val="84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vAlign w:val="center"/>
          </w:tcPr>
          <w:p w14:paraId="50CADEF2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Základními výchozími předpoklady je počet obyvatel obce a využití budovy nebo infrastruktury pro </w:t>
            </w:r>
            <w:r>
              <w:rPr>
                <w:color w:val="000000" w:themeColor="text1"/>
              </w:rPr>
              <w:t>výkon ekonomické činnosti (nabízení zboží a služeb na trhu)</w:t>
            </w:r>
            <w:r>
              <w:rPr>
                <w:rFonts w:cs="Segoe UI"/>
                <w:color w:val="000000" w:themeColor="text1"/>
                <w:szCs w:val="20"/>
              </w:rPr>
              <w:t xml:space="preserve">. Pojem ekonomická činnost je v souvislosti s využitím veřejných budov a infrastruktury často nejasným termínem. Níže uvádíme základní kritéria, včetně jejich vysvětlení, pro indikaci veřejné podpory. Po vyhodnocení využití infrastruktury nebo </w:t>
            </w:r>
            <w:r>
              <w:rPr>
                <w:rFonts w:cs="Segoe UI"/>
                <w:color w:val="000000" w:themeColor="text1"/>
                <w:szCs w:val="20"/>
              </w:rPr>
              <w:lastRenderedPageBreak/>
              <w:t>budovy promítněte výsledky do zpracování žádosti o dotaci a volbu typu podpory (veřejná podpora, nebo projekt nezakládající veřejnou podporu).</w:t>
            </w:r>
          </w:p>
          <w:p w14:paraId="11D7C208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>Níže uvedená tabulka platí zejména, pokud jsou žadatelem o podporu obce, města, kraje, veřejnoprávní instituce, organizační složky státu, nepodnikající příspěvkové organizace (např. školy), vysoké školy, veřejné výzkumné instituce pro hlavní činnost a další z příjemců, kteří nevyvíjejí ekonomickou činnost.</w:t>
            </w:r>
          </w:p>
        </w:tc>
      </w:tr>
      <w:tr w:rsidR="00493750" w14:paraId="596A6CC7" w14:textId="77777777">
        <w:trPr>
          <w:trHeight w:val="84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7E6E6" w:themeFill="background2"/>
            <w:vAlign w:val="center"/>
          </w:tcPr>
          <w:p w14:paraId="0D6E38ED" w14:textId="77777777" w:rsidR="00493750" w:rsidRDefault="00000000">
            <w:pPr>
              <w:jc w:val="both"/>
              <w:rPr>
                <w:rFonts w:cs="Segoe UI"/>
                <w:b/>
                <w:color w:val="000000" w:themeColor="text1"/>
                <w:szCs w:val="20"/>
              </w:rPr>
            </w:pPr>
            <w:r>
              <w:rPr>
                <w:rFonts w:cs="Segoe UI"/>
                <w:b/>
                <w:color w:val="000000" w:themeColor="text1"/>
                <w:szCs w:val="20"/>
              </w:rPr>
              <w:t xml:space="preserve">Počet obyvatel obce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8AA1B4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Pokud je obyvatel obce </w:t>
            </w:r>
            <w:r>
              <w:rPr>
                <w:rFonts w:cs="Segoe UI"/>
                <w:b/>
                <w:color w:val="000000" w:themeColor="text1"/>
                <w:szCs w:val="20"/>
              </w:rPr>
              <w:t>méně než</w:t>
            </w:r>
            <w:r>
              <w:rPr>
                <w:rFonts w:cs="Segoe UI"/>
                <w:color w:val="000000" w:themeColor="text1"/>
                <w:szCs w:val="20"/>
              </w:rPr>
              <w:t xml:space="preserve"> nebo </w:t>
            </w:r>
            <w:r>
              <w:rPr>
                <w:rFonts w:cs="Segoe UI"/>
                <w:b/>
                <w:color w:val="000000" w:themeColor="text1"/>
                <w:szCs w:val="20"/>
              </w:rPr>
              <w:t>rovno</w:t>
            </w:r>
            <w:r>
              <w:rPr>
                <w:rFonts w:cs="Segoe UI"/>
                <w:color w:val="000000" w:themeColor="text1"/>
                <w:szCs w:val="20"/>
              </w:rPr>
              <w:t xml:space="preserve"> 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>2 000</w:t>
            </w:r>
            <w:r>
              <w:rPr>
                <w:rFonts w:cs="Segoe UI"/>
                <w:color w:val="000000" w:themeColor="text1"/>
                <w:szCs w:val="20"/>
              </w:rPr>
              <w:t xml:space="preserve"> (aktuální data Českého statistického úřadu v době podání žádosti o podporu), 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>nejedná se o veřejnou podporu</w:t>
            </w:r>
            <w:r>
              <w:rPr>
                <w:rFonts w:cs="Segoe UI"/>
                <w:color w:val="000000" w:themeColor="text1"/>
                <w:szCs w:val="20"/>
              </w:rPr>
              <w:t>, ani když jsou splněny podmínky níže. Pokud je obyvatel více než 2000, je třeba zohlednit splnění podmínek níže.</w:t>
            </w:r>
          </w:p>
        </w:tc>
      </w:tr>
      <w:tr w:rsidR="00493750" w14:paraId="71234201" w14:textId="77777777">
        <w:trPr>
          <w:trHeight w:val="84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7E6E6" w:themeFill="background2"/>
            <w:vAlign w:val="center"/>
          </w:tcPr>
          <w:p w14:paraId="62DBE7D5" w14:textId="77777777" w:rsidR="00493750" w:rsidRDefault="00000000">
            <w:pPr>
              <w:jc w:val="both"/>
              <w:rPr>
                <w:rFonts w:cs="Segoe UI"/>
                <w:b/>
                <w:color w:val="000000" w:themeColor="text1"/>
                <w:szCs w:val="20"/>
              </w:rPr>
            </w:pPr>
            <w:r>
              <w:rPr>
                <w:rFonts w:cs="Segoe UI"/>
                <w:b/>
                <w:color w:val="000000" w:themeColor="text1"/>
                <w:szCs w:val="20"/>
              </w:rPr>
              <w:t>Budova/infrastruktura bude/je předmětem pronájmu nebo využívána k ekonomické činnosti ano/ne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59B28B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Pokud je pronájem </w:t>
            </w:r>
            <w:r>
              <w:rPr>
                <w:rFonts w:cs="Segoe UI"/>
                <w:b/>
                <w:color w:val="000000" w:themeColor="text1"/>
                <w:szCs w:val="20"/>
              </w:rPr>
              <w:t xml:space="preserve">menší než </w:t>
            </w:r>
            <w:r>
              <w:rPr>
                <w:rFonts w:cs="Segoe UI"/>
                <w:color w:val="000000" w:themeColor="text1"/>
                <w:szCs w:val="20"/>
              </w:rPr>
              <w:t>nebo</w:t>
            </w:r>
            <w:r>
              <w:rPr>
                <w:rFonts w:cs="Segoe UI"/>
                <w:b/>
                <w:color w:val="000000" w:themeColor="text1"/>
                <w:szCs w:val="20"/>
              </w:rPr>
              <w:t xml:space="preserve"> roven 20 % plochy</w:t>
            </w:r>
            <w:r>
              <w:rPr>
                <w:rFonts w:cs="Segoe UI"/>
                <w:color w:val="000000" w:themeColor="text1"/>
                <w:szCs w:val="20"/>
              </w:rPr>
              <w:t xml:space="preserve">, nebo je ekonomická činnost provozována na ploše </w:t>
            </w:r>
            <w:r>
              <w:rPr>
                <w:rFonts w:cs="Segoe UI"/>
                <w:b/>
                <w:color w:val="000000" w:themeColor="text1"/>
                <w:szCs w:val="20"/>
              </w:rPr>
              <w:t>menší než</w:t>
            </w:r>
            <w:r>
              <w:rPr>
                <w:rFonts w:cs="Segoe UI"/>
                <w:color w:val="000000" w:themeColor="text1"/>
                <w:szCs w:val="20"/>
              </w:rPr>
              <w:t xml:space="preserve"> nebo </w:t>
            </w:r>
            <w:r>
              <w:rPr>
                <w:rFonts w:cs="Segoe UI"/>
                <w:b/>
                <w:color w:val="000000" w:themeColor="text1"/>
                <w:szCs w:val="20"/>
              </w:rPr>
              <w:t>rovné</w:t>
            </w:r>
            <w:r>
              <w:rPr>
                <w:rFonts w:cs="Segoe UI"/>
                <w:color w:val="000000" w:themeColor="text1"/>
                <w:szCs w:val="20"/>
              </w:rPr>
              <w:t xml:space="preserve"> 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 xml:space="preserve">20 % </w:t>
            </w:r>
            <w:r>
              <w:rPr>
                <w:rFonts w:cs="Segoe UI"/>
                <w:color w:val="000000" w:themeColor="text1"/>
                <w:szCs w:val="20"/>
              </w:rPr>
              <w:t>z celkové plochy budovy, či kapacity infrastruktury, nejedná se o veřejnou podporu</w:t>
            </w:r>
          </w:p>
        </w:tc>
      </w:tr>
      <w:tr w:rsidR="00493750" w14:paraId="454232E5" w14:textId="77777777">
        <w:trPr>
          <w:trHeight w:val="84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7E6E6" w:themeFill="background2"/>
            <w:vAlign w:val="center"/>
          </w:tcPr>
          <w:p w14:paraId="70A81373" w14:textId="77777777" w:rsidR="00493750" w:rsidRDefault="00000000">
            <w:pPr>
              <w:jc w:val="both"/>
              <w:rPr>
                <w:rFonts w:cs="Segoe UI"/>
                <w:b/>
                <w:color w:val="000000" w:themeColor="text1"/>
                <w:szCs w:val="20"/>
              </w:rPr>
            </w:pPr>
            <w:r>
              <w:rPr>
                <w:rFonts w:cs="Segoe UI"/>
                <w:b/>
                <w:color w:val="000000" w:themeColor="text1"/>
                <w:szCs w:val="20"/>
              </w:rPr>
              <w:t>Pokud je pronájem větší než 20 % pak je třeba vzít do úvahy tyto podmínky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FF22FA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Pokud je budova, či infrastruktura 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>předmětem pronájmu, tak se většinou jedná o veřejnou podporu</w:t>
            </w:r>
            <w:r>
              <w:rPr>
                <w:rFonts w:cs="Segoe UI"/>
                <w:color w:val="000000" w:themeColor="text1"/>
                <w:szCs w:val="20"/>
              </w:rPr>
              <w:t xml:space="preserve">. Výjimkou jsou pronájmy za regulovanou cenu orgánům státní moci jako např. policie, státní úřady apod. </w:t>
            </w:r>
          </w:p>
          <w:p w14:paraId="28EDC8EF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>Naopak pronájmy 100 % vlastněným firmám typu technické služby města, nebo např. zdravotní zařízení či nemocnice představují veřejnou podporu.</w:t>
            </w:r>
          </w:p>
        </w:tc>
      </w:tr>
      <w:tr w:rsidR="00493750" w14:paraId="7A977D08" w14:textId="77777777">
        <w:trPr>
          <w:trHeight w:val="84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7E6E6" w:themeFill="background2"/>
            <w:vAlign w:val="center"/>
          </w:tcPr>
          <w:p w14:paraId="17A74C44" w14:textId="77777777" w:rsidR="00493750" w:rsidRDefault="00000000">
            <w:pPr>
              <w:rPr>
                <w:rFonts w:cs="Segoe UI"/>
                <w:b/>
                <w:color w:val="000000" w:themeColor="text1"/>
                <w:szCs w:val="20"/>
              </w:rPr>
            </w:pPr>
            <w:r>
              <w:rPr>
                <w:rFonts w:cs="Segoe UI"/>
                <w:b/>
                <w:color w:val="000000" w:themeColor="text1"/>
                <w:szCs w:val="20"/>
              </w:rPr>
              <w:t>Budova, či infrastruktura je využívána k ekonomické činnosti, i když není předmětem pronájmu ano/ne</w:t>
            </w:r>
          </w:p>
          <w:p w14:paraId="082594B7" w14:textId="77777777" w:rsidR="00493750" w:rsidRDefault="00493750">
            <w:pPr>
              <w:jc w:val="both"/>
              <w:rPr>
                <w:rFonts w:cs="Segoe UI"/>
                <w:b/>
                <w:color w:val="000000" w:themeColor="text1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C6D2F3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Pokud je budova 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>využívaná k ekonomické činnosti jedná se o veřejnou podporu</w:t>
            </w:r>
            <w:r>
              <w:rPr>
                <w:rFonts w:cs="Segoe UI"/>
                <w:color w:val="000000" w:themeColor="text1"/>
                <w:szCs w:val="20"/>
              </w:rPr>
              <w:t xml:space="preserve"> (např. domovy dětí a mládeže provozované i jako ubytovny). Pokud 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>ekonomická činnost související s předmětem podpory je nižší než 20 % kapacity</w:t>
            </w:r>
            <w:r>
              <w:rPr>
                <w:rFonts w:cs="Segoe UI"/>
                <w:color w:val="000000" w:themeColor="text1"/>
                <w:szCs w:val="20"/>
              </w:rPr>
              <w:t>, o veřejnou podporu se nejedná (například školní jídelna vydávající méně než 20 % obědů klientům mimo školu).</w:t>
            </w:r>
          </w:p>
        </w:tc>
      </w:tr>
      <w:tr w:rsidR="00493750" w14:paraId="351F4BD9" w14:textId="77777777">
        <w:trPr>
          <w:trHeight w:val="84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7E6E6" w:themeFill="background2"/>
            <w:vAlign w:val="center"/>
          </w:tcPr>
          <w:p w14:paraId="20A4840F" w14:textId="77777777" w:rsidR="00493750" w:rsidRDefault="00000000">
            <w:pPr>
              <w:rPr>
                <w:rFonts w:cs="Segoe UI"/>
                <w:b/>
                <w:bCs/>
                <w:color w:val="000000" w:themeColor="text1"/>
                <w:szCs w:val="20"/>
              </w:rPr>
            </w:pPr>
            <w:r>
              <w:rPr>
                <w:rFonts w:cs="Segoe UI"/>
                <w:b/>
                <w:bCs/>
                <w:color w:val="000000" w:themeColor="text1"/>
                <w:szCs w:val="20"/>
              </w:rPr>
              <w:t>Další doplňující kritéria posouzení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6AF981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>V případě církví a církevních právnických osob je možné mimo rámec veřejné podpory podpořit projekty realizované na budovách využívaných k pastorační činnosti.</w:t>
            </w:r>
          </w:p>
          <w:p w14:paraId="3CF2C3B2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>V případě soukromých škol je možné projekt podpořit mimo rámec veřejné podpory, pokud je škola převážně financována z veřejných zdrojů. Toto musí být dodrženo po celou dobu udržitelnosti projektu.</w:t>
            </w:r>
          </w:p>
          <w:p w14:paraId="484A6AD7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>V případě vysokých škol a veřejných výzkumných institucí je možné mimo rámec veřejné podpory podpořit pouze projekty, které jsou spojené s hlavními neekonomickými činnostmi těchto žadatelů (využití předmětu podpory pro hlavní neekonomické činnosti minimálně z 80 %).</w:t>
            </w:r>
          </w:p>
          <w:p w14:paraId="69F19883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lastRenderedPageBreak/>
              <w:t>Zdravotnické služby jsou považovány za ekonomickou činnost, předpokládáme, že bude převážně využit čl. 56.</w:t>
            </w:r>
          </w:p>
          <w:p w14:paraId="7474D4B2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Projekty státních podniků budou posouzeny individuálně vzhledem k činnosti. </w:t>
            </w:r>
          </w:p>
          <w:p w14:paraId="41109B36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>V případě obchodních společností předpokládáme, že se bude jednat o veřejnou podporu vždy.</w:t>
            </w:r>
          </w:p>
        </w:tc>
      </w:tr>
    </w:tbl>
    <w:p w14:paraId="0CAD8686" w14:textId="77777777" w:rsidR="00493750" w:rsidRDefault="00493750">
      <w:pPr>
        <w:pStyle w:val="Podtitul11"/>
        <w:numPr>
          <w:ilvl w:val="0"/>
          <w:numId w:val="0"/>
        </w:numPr>
        <w:ind w:left="567" w:hanging="567"/>
        <w:rPr>
          <w:highlight w:val="white"/>
        </w:rPr>
      </w:pPr>
    </w:p>
    <w:sectPr w:rsidR="00493750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701" w:right="1418" w:bottom="1418" w:left="1418" w:header="68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43F9" w14:textId="77777777" w:rsidR="00237E8F" w:rsidRDefault="00237E8F">
      <w:pPr>
        <w:spacing w:after="0" w:line="240" w:lineRule="auto"/>
      </w:pPr>
      <w:r>
        <w:separator/>
      </w:r>
    </w:p>
  </w:endnote>
  <w:endnote w:type="continuationSeparator" w:id="0">
    <w:p w14:paraId="45EBFDCC" w14:textId="77777777" w:rsidR="00237E8F" w:rsidRDefault="0023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07115" w14:textId="77777777" w:rsidR="00493750" w:rsidRDefault="00000000">
    <w:pPr>
      <w:pStyle w:val="Zpat1"/>
      <w:rPr>
        <w:rFonts w:cs="Segoe UI"/>
        <w:sz w:val="16"/>
        <w:szCs w:val="16"/>
      </w:rPr>
    </w:pPr>
    <w:r>
      <w:rPr>
        <w:rFonts w:cs="Segoe U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4C5D7" wp14:editId="42668CB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DABD9" w14:textId="77777777" w:rsidR="00493750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4C5D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0C2DABD9" w14:textId="77777777" w:rsidR="00493750" w:rsidRDefault="00000000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="Segoe UI"/>
        <w:b/>
        <w:sz w:val="16"/>
        <w:szCs w:val="16"/>
      </w:rPr>
      <w:t>Státní fond životního prostředí ČR</w:t>
    </w:r>
    <w:r>
      <w:rPr>
        <w:rFonts w:cs="Segoe UI"/>
        <w:sz w:val="16"/>
        <w:szCs w:val="16"/>
      </w:rPr>
      <w:t>, sídlo: Kaplanova 1931/1, 148 00 Praha 11</w:t>
    </w:r>
  </w:p>
  <w:p w14:paraId="383F2665" w14:textId="77777777" w:rsidR="00493750" w:rsidRDefault="00000000">
    <w:pPr>
      <w:pStyle w:val="Zpat1"/>
      <w:rPr>
        <w:rFonts w:cs="Segoe UI"/>
        <w:sz w:val="16"/>
        <w:szCs w:val="16"/>
      </w:rPr>
    </w:pPr>
    <w:r>
      <w:rPr>
        <w:rFonts w:cs="Segoe UI"/>
        <w:sz w:val="16"/>
        <w:szCs w:val="16"/>
      </w:rPr>
      <w:t>korespondenční a kontaktní adresa: Olbrachtova 2006/9, 140 00 Praha 4, T: +420 267 994 300; IČ: 00020729</w:t>
    </w:r>
  </w:p>
  <w:p w14:paraId="69B0BC97" w14:textId="77777777" w:rsidR="00493750" w:rsidRDefault="00000000">
    <w:pPr>
      <w:pStyle w:val="Zpat1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E540" w14:textId="77777777" w:rsidR="00493750" w:rsidRDefault="00000000">
    <w:pPr>
      <w:pStyle w:val="Zpat1"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FD57" w14:textId="77777777" w:rsidR="00237E8F" w:rsidRDefault="00237E8F">
      <w:pPr>
        <w:spacing w:after="0" w:line="240" w:lineRule="auto"/>
      </w:pPr>
      <w:r>
        <w:separator/>
      </w:r>
    </w:p>
  </w:footnote>
  <w:footnote w:type="continuationSeparator" w:id="0">
    <w:p w14:paraId="28DC2462" w14:textId="77777777" w:rsidR="00237E8F" w:rsidRDefault="00237E8F">
      <w:pPr>
        <w:spacing w:after="0" w:line="240" w:lineRule="auto"/>
      </w:pPr>
      <w:r>
        <w:continuationSeparator/>
      </w:r>
    </w:p>
  </w:footnote>
  <w:footnote w:id="1">
    <w:p w14:paraId="23686E1B" w14:textId="77777777" w:rsidR="00493750" w:rsidRDefault="00000000">
      <w:pPr>
        <w:pStyle w:val="Textpoznpodarou"/>
        <w:rPr>
          <w:rFonts w:cs="Segoe UI"/>
          <w:szCs w:val="18"/>
        </w:rPr>
      </w:pPr>
      <w:r>
        <w:rPr>
          <w:rStyle w:val="Znakapoznpodarou"/>
          <w:rFonts w:cs="Segoe UI"/>
          <w:szCs w:val="18"/>
        </w:rPr>
        <w:footnoteRef/>
      </w:r>
      <w:r>
        <w:rPr>
          <w:rFonts w:cs="Segoe UI"/>
          <w:szCs w:val="18"/>
        </w:rPr>
        <w:t xml:space="preserve"> </w:t>
      </w:r>
      <w:r>
        <w:rPr>
          <w:rFonts w:cs="Segoe UI"/>
          <w:color w:val="000000"/>
          <w:sz w:val="16"/>
          <w:szCs w:val="18"/>
        </w:rPr>
        <w:t>Dle zákona č. 561/2004 Sb. o předškolním, základním, středním, vyšším odborném a jiném vzdělávání (školský zákon)</w:t>
      </w:r>
    </w:p>
  </w:footnote>
  <w:footnote w:id="2">
    <w:p w14:paraId="7854D7AC" w14:textId="77777777" w:rsidR="00493750" w:rsidRDefault="00000000">
      <w:pPr>
        <w:pStyle w:val="Textpoznpodarou"/>
        <w:rPr>
          <w:rFonts w:cs="Segoe UI"/>
          <w:szCs w:val="18"/>
        </w:rPr>
      </w:pPr>
      <w:r>
        <w:rPr>
          <w:rStyle w:val="Znakapoznpodarou"/>
          <w:rFonts w:cs="Segoe UI"/>
          <w:szCs w:val="18"/>
        </w:rPr>
        <w:footnoteRef/>
      </w:r>
      <w:r>
        <w:rPr>
          <w:rFonts w:cs="Segoe UI"/>
          <w:szCs w:val="18"/>
        </w:rPr>
        <w:t xml:space="preserve"> </w:t>
      </w:r>
      <w:r>
        <w:rPr>
          <w:rFonts w:cs="Segoe UI"/>
          <w:color w:val="000000"/>
          <w:sz w:val="16"/>
          <w:szCs w:val="18"/>
        </w:rPr>
        <w:t>Dle zákona č. 11/1998 Sb. o vysokých školách.</w:t>
      </w:r>
    </w:p>
  </w:footnote>
  <w:footnote w:id="3">
    <w:p w14:paraId="69E2E7D4" w14:textId="77777777" w:rsidR="00493750" w:rsidRDefault="00000000">
      <w:pPr>
        <w:pStyle w:val="Textpoznpodarou"/>
      </w:pPr>
      <w:r>
        <w:rPr>
          <w:rStyle w:val="Znakapoznpodarou"/>
          <w:rFonts w:cs="Segoe UI"/>
          <w:szCs w:val="18"/>
        </w:rPr>
        <w:footnoteRef/>
      </w:r>
      <w:r>
        <w:rPr>
          <w:rFonts w:cs="Segoe UI"/>
          <w:szCs w:val="18"/>
        </w:rPr>
        <w:t xml:space="preserve"> </w:t>
      </w:r>
      <w:r>
        <w:rPr>
          <w:rFonts w:cs="Segoe UI"/>
          <w:color w:val="000000"/>
          <w:sz w:val="16"/>
          <w:szCs w:val="18"/>
        </w:rPr>
        <w:t>Dle zákona č. 561/2004 Sb. o předškolním, základním, středním, vyšším odborném a jiném vzdělávání (školský zákon).</w:t>
      </w:r>
    </w:p>
  </w:footnote>
  <w:footnote w:id="4">
    <w:p w14:paraId="40E4A414" w14:textId="77777777" w:rsidR="00493750" w:rsidRDefault="000000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cs="Segoe UI"/>
          <w:color w:val="000000"/>
          <w:sz w:val="16"/>
        </w:rPr>
        <w:t>Dle zákona č. 372/2011 Sb., o zdravotních službách.</w:t>
      </w:r>
    </w:p>
  </w:footnote>
  <w:footnote w:id="5">
    <w:p w14:paraId="1E777AF8" w14:textId="77777777" w:rsidR="00493750" w:rsidRDefault="000000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docdata"/>
          <w:color w:val="000000"/>
          <w:sz w:val="18"/>
          <w:szCs w:val="18"/>
        </w:rPr>
        <w:t>Dle zákona č. 108/2005 Sb., o sociálních službách.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9A2DB" w14:textId="77777777" w:rsidR="00493750" w:rsidRDefault="00000000">
    <w:pPr>
      <w:pStyle w:val="Zhlav1"/>
    </w:pPr>
    <w:r>
      <w:rPr>
        <w:noProof/>
      </w:rPr>
      <w:drawing>
        <wp:inline distT="0" distB="0" distL="0" distR="0" wp14:anchorId="0B6C292A" wp14:editId="4F73EC80">
          <wp:extent cx="5719445" cy="415856"/>
          <wp:effectExtent l="0" t="0" r="0" b="3810"/>
          <wp:docPr id="1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09FD" w14:textId="77777777" w:rsidR="00493750" w:rsidRDefault="00000000">
    <w:pPr>
      <w:pStyle w:val="Zhlav1"/>
    </w:pPr>
    <w:r>
      <w:rPr>
        <w:noProof/>
      </w:rPr>
      <w:drawing>
        <wp:inline distT="0" distB="0" distL="0" distR="0" wp14:anchorId="733035FE" wp14:editId="1B944D5B">
          <wp:extent cx="5719445" cy="415856"/>
          <wp:effectExtent l="0" t="0" r="0" b="3810"/>
          <wp:docPr id="1116358728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40339" name="Obrázek 2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1092"/>
    <w:multiLevelType w:val="hybridMultilevel"/>
    <w:tmpl w:val="00000000"/>
    <w:lvl w:ilvl="0" w:tplc="26C24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A03F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C96F9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2E0B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F297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2AE2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FCFA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828E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F8F9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42B92"/>
    <w:multiLevelType w:val="hybridMultilevel"/>
    <w:tmpl w:val="00000000"/>
    <w:lvl w:ilvl="0" w:tplc="1BB66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E0ED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0AF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BA37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4098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BA68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F263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8E28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D04D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1A1CC"/>
    <w:multiLevelType w:val="hybridMultilevel"/>
    <w:tmpl w:val="00000000"/>
    <w:lvl w:ilvl="0" w:tplc="E30A9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A8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A7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A9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A47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82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0A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C96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AD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7DA8"/>
    <w:multiLevelType w:val="hybridMultilevel"/>
    <w:tmpl w:val="00000000"/>
    <w:lvl w:ilvl="0" w:tplc="8ED27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453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2B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E5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0B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08D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23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23D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21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8C879"/>
    <w:multiLevelType w:val="hybridMultilevel"/>
    <w:tmpl w:val="00000000"/>
    <w:lvl w:ilvl="0" w:tplc="29F61D72">
      <w:start w:val="1"/>
      <w:numFmt w:val="upperRoman"/>
      <w:lvlText w:val="%1."/>
      <w:lvlJc w:val="right"/>
      <w:pPr>
        <w:ind w:left="720" w:hanging="360"/>
      </w:pPr>
      <w:rPr>
        <w:b/>
        <w:color w:val="595959" w:themeColor="text1" w:themeTint="A6"/>
      </w:rPr>
    </w:lvl>
    <w:lvl w:ilvl="1" w:tplc="27F89C6E">
      <w:start w:val="1"/>
      <w:numFmt w:val="lowerLetter"/>
      <w:lvlText w:val="%2."/>
      <w:lvlJc w:val="left"/>
      <w:pPr>
        <w:ind w:left="1440" w:hanging="360"/>
      </w:pPr>
    </w:lvl>
    <w:lvl w:ilvl="2" w:tplc="A29482FA">
      <w:start w:val="1"/>
      <w:numFmt w:val="lowerRoman"/>
      <w:lvlText w:val="%3."/>
      <w:lvlJc w:val="right"/>
      <w:pPr>
        <w:ind w:left="2160" w:hanging="180"/>
      </w:pPr>
    </w:lvl>
    <w:lvl w:ilvl="3" w:tplc="135C134C">
      <w:start w:val="1"/>
      <w:numFmt w:val="decimal"/>
      <w:lvlText w:val="%4."/>
      <w:lvlJc w:val="left"/>
      <w:pPr>
        <w:ind w:left="2880" w:hanging="360"/>
      </w:pPr>
    </w:lvl>
    <w:lvl w:ilvl="4" w:tplc="9EF4834C">
      <w:start w:val="1"/>
      <w:numFmt w:val="lowerLetter"/>
      <w:lvlText w:val="%5."/>
      <w:lvlJc w:val="left"/>
      <w:pPr>
        <w:ind w:left="3600" w:hanging="360"/>
      </w:pPr>
    </w:lvl>
    <w:lvl w:ilvl="5" w:tplc="9758712A">
      <w:start w:val="1"/>
      <w:numFmt w:val="lowerRoman"/>
      <w:lvlText w:val="%6."/>
      <w:lvlJc w:val="right"/>
      <w:pPr>
        <w:ind w:left="4320" w:hanging="180"/>
      </w:pPr>
    </w:lvl>
    <w:lvl w:ilvl="6" w:tplc="D1E6F9E0">
      <w:start w:val="1"/>
      <w:numFmt w:val="decimal"/>
      <w:lvlText w:val="%7."/>
      <w:lvlJc w:val="left"/>
      <w:pPr>
        <w:ind w:left="5040" w:hanging="360"/>
      </w:pPr>
    </w:lvl>
    <w:lvl w:ilvl="7" w:tplc="C20E2D12">
      <w:start w:val="1"/>
      <w:numFmt w:val="lowerLetter"/>
      <w:lvlText w:val="%8."/>
      <w:lvlJc w:val="left"/>
      <w:pPr>
        <w:ind w:left="5760" w:hanging="360"/>
      </w:pPr>
    </w:lvl>
    <w:lvl w:ilvl="8" w:tplc="6BB439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0616"/>
    <w:multiLevelType w:val="hybridMultilevel"/>
    <w:tmpl w:val="00000000"/>
    <w:lvl w:ilvl="0" w:tplc="D3261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C8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08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66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623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30E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AA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EDC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A2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0F47"/>
    <w:multiLevelType w:val="hybridMultilevel"/>
    <w:tmpl w:val="00000000"/>
    <w:lvl w:ilvl="0" w:tplc="523C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A3D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22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65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4D8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3EF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08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28E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B43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B9CE5"/>
    <w:multiLevelType w:val="hybridMultilevel"/>
    <w:tmpl w:val="00000000"/>
    <w:lvl w:ilvl="0" w:tplc="02C8F7FC">
      <w:start w:val="9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296EE5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060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E2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4C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A0B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84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0F3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0F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5A64C"/>
    <w:multiLevelType w:val="hybridMultilevel"/>
    <w:tmpl w:val="00000000"/>
    <w:lvl w:ilvl="0" w:tplc="B71A0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D0E2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4A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EEE4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CC57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824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B6F5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D421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C66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7CB78"/>
    <w:multiLevelType w:val="hybridMultilevel"/>
    <w:tmpl w:val="00000000"/>
    <w:lvl w:ilvl="0" w:tplc="6D945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4A12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1084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842A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E2D0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CA8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DE98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5261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AE9E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11146"/>
    <w:multiLevelType w:val="hybridMultilevel"/>
    <w:tmpl w:val="00000000"/>
    <w:lvl w:ilvl="0" w:tplc="05E69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6A8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30C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1441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5C9D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1CFD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42F0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A80C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4213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C7175"/>
    <w:multiLevelType w:val="hybridMultilevel"/>
    <w:tmpl w:val="00000000"/>
    <w:lvl w:ilvl="0" w:tplc="AEB61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47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F0F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88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C2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C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EB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28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C08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FC2B0"/>
    <w:multiLevelType w:val="hybridMultilevel"/>
    <w:tmpl w:val="00000000"/>
    <w:lvl w:ilvl="0" w:tplc="465C9C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1E6BE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8EBC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1615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D40B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B03B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7837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629C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78FB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C3F21F1"/>
    <w:multiLevelType w:val="multilevel"/>
    <w:tmpl w:val="B212F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BAE33"/>
    <w:multiLevelType w:val="hybridMultilevel"/>
    <w:tmpl w:val="00000000"/>
    <w:lvl w:ilvl="0" w:tplc="1F06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EDD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18F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A8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E0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B27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AA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414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B4A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AF2D8"/>
    <w:multiLevelType w:val="hybridMultilevel"/>
    <w:tmpl w:val="00000000"/>
    <w:lvl w:ilvl="0" w:tplc="7EB8D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248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040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C8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CFD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E9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E8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23F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38E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E5124"/>
    <w:multiLevelType w:val="hybridMultilevel"/>
    <w:tmpl w:val="00000000"/>
    <w:lvl w:ilvl="0" w:tplc="166C80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59040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1F850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54E3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87497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84AF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E8488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88A1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E3E5A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AB8691C"/>
    <w:multiLevelType w:val="hybridMultilevel"/>
    <w:tmpl w:val="00000000"/>
    <w:lvl w:ilvl="0" w:tplc="3FFC21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63C7F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3B2962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2B28E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6E864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9469C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16811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ADE2F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3AE9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C9D9CFB"/>
    <w:multiLevelType w:val="hybridMultilevel"/>
    <w:tmpl w:val="00000000"/>
    <w:lvl w:ilvl="0" w:tplc="DACECE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790B6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6E22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8441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14DD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9EB5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220A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E0C9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D498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CBB619F"/>
    <w:multiLevelType w:val="hybridMultilevel"/>
    <w:tmpl w:val="00000000"/>
    <w:lvl w:ilvl="0" w:tplc="3F9EFC6C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73282B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5AE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45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8A7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E7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6A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63A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4B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852D1"/>
    <w:multiLevelType w:val="hybridMultilevel"/>
    <w:tmpl w:val="00000000"/>
    <w:lvl w:ilvl="0" w:tplc="42F411C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16867C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E8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2A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8F2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B42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8B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C1B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4E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BFD2F"/>
    <w:multiLevelType w:val="hybridMultilevel"/>
    <w:tmpl w:val="00000000"/>
    <w:lvl w:ilvl="0" w:tplc="C756CFE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7483F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966BB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FE4D0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A8073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EE65D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0426E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79A6E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DBCE3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479C0D7"/>
    <w:multiLevelType w:val="hybridMultilevel"/>
    <w:tmpl w:val="00000000"/>
    <w:lvl w:ilvl="0" w:tplc="10C478AE">
      <w:start w:val="1"/>
      <w:numFmt w:val="bullet"/>
      <w:lvlText w:val=""/>
      <w:lvlJc w:val="left"/>
      <w:pPr>
        <w:tabs>
          <w:tab w:val="num" w:pos="-432"/>
        </w:tabs>
        <w:ind w:left="-432" w:hanging="360"/>
      </w:pPr>
      <w:rPr>
        <w:rFonts w:ascii="Symbol" w:hAnsi="Symbol" w:hint="default"/>
        <w:sz w:val="20"/>
      </w:rPr>
    </w:lvl>
    <w:lvl w:ilvl="1" w:tplc="0F965B7A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  <w:sz w:val="20"/>
      </w:rPr>
    </w:lvl>
    <w:lvl w:ilvl="2" w:tplc="DCDA2604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</w:rPr>
    </w:lvl>
    <w:lvl w:ilvl="3" w:tplc="E454265E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  <w:sz w:val="20"/>
      </w:rPr>
    </w:lvl>
    <w:lvl w:ilvl="4" w:tplc="589498F8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  <w:sz w:val="20"/>
      </w:rPr>
    </w:lvl>
    <w:lvl w:ilvl="5" w:tplc="D18C8C4C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sz w:val="20"/>
      </w:rPr>
    </w:lvl>
    <w:lvl w:ilvl="6" w:tplc="B6DA3BF2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  <w:sz w:val="20"/>
      </w:rPr>
    </w:lvl>
    <w:lvl w:ilvl="7" w:tplc="2E060E6A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sz w:val="20"/>
      </w:rPr>
    </w:lvl>
    <w:lvl w:ilvl="8" w:tplc="452038BA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EBE073"/>
    <w:multiLevelType w:val="multilevel"/>
    <w:tmpl w:val="00000000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4" w15:restartNumberingAfterBreak="0">
    <w:nsid w:val="4A3DF3BE"/>
    <w:multiLevelType w:val="hybridMultilevel"/>
    <w:tmpl w:val="00000000"/>
    <w:lvl w:ilvl="0" w:tplc="F078B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1AEC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5051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87A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D438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D0E1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5094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CE7D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E0F5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0641EF"/>
    <w:multiLevelType w:val="hybridMultilevel"/>
    <w:tmpl w:val="139C8F7C"/>
    <w:lvl w:ilvl="0" w:tplc="334EB55C">
      <w:start w:val="19"/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B4A7D"/>
    <w:multiLevelType w:val="hybridMultilevel"/>
    <w:tmpl w:val="00000000"/>
    <w:lvl w:ilvl="0" w:tplc="2954FD5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2DAC8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DBECA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00C46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9CEBF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174DD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86A89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C663AD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43C98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F6FC95F"/>
    <w:multiLevelType w:val="hybridMultilevel"/>
    <w:tmpl w:val="00000000"/>
    <w:lvl w:ilvl="0" w:tplc="A6AA63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D909F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9EB1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0246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9A84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FCBB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1AA8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B6BE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3288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9807DD6"/>
    <w:multiLevelType w:val="hybridMultilevel"/>
    <w:tmpl w:val="00000000"/>
    <w:lvl w:ilvl="0" w:tplc="7E5E5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EE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61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A9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E69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CC8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8D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2E3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7E6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99323"/>
    <w:multiLevelType w:val="hybridMultilevel"/>
    <w:tmpl w:val="00000000"/>
    <w:lvl w:ilvl="0" w:tplc="AF70EDBE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 w:tplc="5192AE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66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CD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C63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E5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62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A7C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09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5DDC1"/>
    <w:multiLevelType w:val="hybridMultilevel"/>
    <w:tmpl w:val="00000000"/>
    <w:lvl w:ilvl="0" w:tplc="0388C6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8C492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D8490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C699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DC8CA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A66D1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3F882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AC83C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DC223A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CC62FFC"/>
    <w:multiLevelType w:val="hybridMultilevel"/>
    <w:tmpl w:val="00000000"/>
    <w:lvl w:ilvl="0" w:tplc="BE8ED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03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605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A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6FA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E61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24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E05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627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C707A"/>
    <w:multiLevelType w:val="hybridMultilevel"/>
    <w:tmpl w:val="00000000"/>
    <w:lvl w:ilvl="0" w:tplc="EF787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EE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FE2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CC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096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763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2E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C5B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50C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8B3B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4" w15:restartNumberingAfterBreak="0">
    <w:nsid w:val="694B39A1"/>
    <w:multiLevelType w:val="hybridMultilevel"/>
    <w:tmpl w:val="00000000"/>
    <w:lvl w:ilvl="0" w:tplc="233E7D6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99A72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F6DA1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9AC32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CA3E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20E8A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C063C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EECF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5C707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078C3CF"/>
    <w:multiLevelType w:val="hybridMultilevel"/>
    <w:tmpl w:val="00000000"/>
    <w:lvl w:ilvl="0" w:tplc="A09E4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FE05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1A8F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80DD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2449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6EC8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E687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6AC9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820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A8C5CA"/>
    <w:multiLevelType w:val="hybridMultilevel"/>
    <w:tmpl w:val="00000000"/>
    <w:lvl w:ilvl="0" w:tplc="E0001F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AE0E4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8FC3C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7D4EC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01042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1E40F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18408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AB09D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98A41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779527124">
    <w:abstractNumId w:val="23"/>
  </w:num>
  <w:num w:numId="2" w16cid:durableId="1587573611">
    <w:abstractNumId w:val="20"/>
  </w:num>
  <w:num w:numId="3" w16cid:durableId="1633558454">
    <w:abstractNumId w:val="34"/>
  </w:num>
  <w:num w:numId="4" w16cid:durableId="269749554">
    <w:abstractNumId w:val="19"/>
  </w:num>
  <w:num w:numId="5" w16cid:durableId="1816875183">
    <w:abstractNumId w:val="29"/>
  </w:num>
  <w:num w:numId="6" w16cid:durableId="9271534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3211212">
    <w:abstractNumId w:val="3"/>
  </w:num>
  <w:num w:numId="8" w16cid:durableId="1637833703">
    <w:abstractNumId w:val="28"/>
  </w:num>
  <w:num w:numId="9" w16cid:durableId="671185264">
    <w:abstractNumId w:val="5"/>
  </w:num>
  <w:num w:numId="10" w16cid:durableId="1148013791">
    <w:abstractNumId w:val="24"/>
  </w:num>
  <w:num w:numId="11" w16cid:durableId="1279142029">
    <w:abstractNumId w:val="1"/>
  </w:num>
  <w:num w:numId="12" w16cid:durableId="1916011280">
    <w:abstractNumId w:val="0"/>
  </w:num>
  <w:num w:numId="13" w16cid:durableId="1110930366">
    <w:abstractNumId w:val="9"/>
  </w:num>
  <w:num w:numId="14" w16cid:durableId="1127889071">
    <w:abstractNumId w:val="10"/>
  </w:num>
  <w:num w:numId="15" w16cid:durableId="2126457618">
    <w:abstractNumId w:val="8"/>
  </w:num>
  <w:num w:numId="16" w16cid:durableId="2125224037">
    <w:abstractNumId w:val="22"/>
  </w:num>
  <w:num w:numId="17" w16cid:durableId="155922764">
    <w:abstractNumId w:val="35"/>
  </w:num>
  <w:num w:numId="18" w16cid:durableId="177697745">
    <w:abstractNumId w:val="31"/>
  </w:num>
  <w:num w:numId="19" w16cid:durableId="140512262">
    <w:abstractNumId w:val="11"/>
  </w:num>
  <w:num w:numId="20" w16cid:durableId="1256087566">
    <w:abstractNumId w:val="6"/>
  </w:num>
  <w:num w:numId="21" w16cid:durableId="1910335802">
    <w:abstractNumId w:val="14"/>
  </w:num>
  <w:num w:numId="22" w16cid:durableId="179512692">
    <w:abstractNumId w:val="17"/>
  </w:num>
  <w:num w:numId="23" w16cid:durableId="334108972">
    <w:abstractNumId w:val="18"/>
  </w:num>
  <w:num w:numId="24" w16cid:durableId="1901552964">
    <w:abstractNumId w:val="21"/>
  </w:num>
  <w:num w:numId="25" w16cid:durableId="1890797155">
    <w:abstractNumId w:val="30"/>
  </w:num>
  <w:num w:numId="26" w16cid:durableId="191647164">
    <w:abstractNumId w:val="33"/>
  </w:num>
  <w:num w:numId="27" w16cid:durableId="1326595084">
    <w:abstractNumId w:val="15"/>
  </w:num>
  <w:num w:numId="28" w16cid:durableId="1618296804">
    <w:abstractNumId w:val="36"/>
  </w:num>
  <w:num w:numId="29" w16cid:durableId="2073964116">
    <w:abstractNumId w:val="32"/>
  </w:num>
  <w:num w:numId="30" w16cid:durableId="1661425328">
    <w:abstractNumId w:val="4"/>
  </w:num>
  <w:num w:numId="31" w16cid:durableId="336928568">
    <w:abstractNumId w:val="26"/>
  </w:num>
  <w:num w:numId="32" w16cid:durableId="1438646471">
    <w:abstractNumId w:val="27"/>
  </w:num>
  <w:num w:numId="33" w16cid:durableId="395327104">
    <w:abstractNumId w:val="12"/>
  </w:num>
  <w:num w:numId="34" w16cid:durableId="2112311319">
    <w:abstractNumId w:val="16"/>
  </w:num>
  <w:num w:numId="35" w16cid:durableId="1493138612">
    <w:abstractNumId w:val="2"/>
  </w:num>
  <w:num w:numId="36" w16cid:durableId="882717780">
    <w:abstractNumId w:val="7"/>
  </w:num>
  <w:num w:numId="37" w16cid:durableId="518859608">
    <w:abstractNumId w:val="25"/>
  </w:num>
  <w:num w:numId="38" w16cid:durableId="4399566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50"/>
    <w:rsid w:val="00216286"/>
    <w:rsid w:val="00237E8F"/>
    <w:rsid w:val="004063AA"/>
    <w:rsid w:val="00493750"/>
    <w:rsid w:val="004B4DFC"/>
    <w:rsid w:val="004E3775"/>
    <w:rsid w:val="007353D4"/>
    <w:rsid w:val="008F6E91"/>
    <w:rsid w:val="009D1DBE"/>
    <w:rsid w:val="00AD2C4C"/>
    <w:rsid w:val="00AD6172"/>
    <w:rsid w:val="00B8476B"/>
    <w:rsid w:val="00C028B9"/>
    <w:rsid w:val="00C14C42"/>
    <w:rsid w:val="00CE7F3C"/>
    <w:rsid w:val="00E4378E"/>
    <w:rsid w:val="00F0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7C75"/>
  <w15:docId w15:val="{842822A3-D6B3-4A07-A8BF-9425A28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Nadpis21">
    <w:name w:val="Nadpis 21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Nadpis31">
    <w:name w:val="Nadpis 31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Nadpis41">
    <w:name w:val="Nadpis 41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51">
    <w:name w:val="Nadpis 51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Nadpis61">
    <w:name w:val="Nadpis 61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Nadpis71">
    <w:name w:val="Nadpis 71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Nadpis81">
    <w:name w:val="Nadpis 81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Nadpis91">
    <w:name w:val="Nadpis 91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1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1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1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customStyle="1" w:styleId="Titulek1">
    <w:name w:val="Titulek1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customStyle="1" w:styleId="Zhlav1">
    <w:name w:val="Záhlaví1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1"/>
    <w:uiPriority w:val="99"/>
  </w:style>
  <w:style w:type="paragraph" w:customStyle="1" w:styleId="Zpat1">
    <w:name w:val="Zápatí1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1"/>
    <w:uiPriority w:val="99"/>
  </w:style>
  <w:style w:type="paragraph" w:customStyle="1" w:styleId="TITULEKVZVY">
    <w:name w:val="TITULEK VÝZVY"/>
    <w:basedOn w:val="Normln"/>
    <w:link w:val="TITULEKVZVYChar"/>
    <w:qFormat/>
    <w:pPr>
      <w:spacing w:after="360" w:line="264" w:lineRule="auto"/>
      <w:contextualSpacing/>
    </w:pPr>
    <w:rPr>
      <w:rFonts w:eastAsia="Calibri" w:cs="Times New Roman"/>
      <w:caps/>
      <w:color w:val="3E1F65"/>
      <w:sz w:val="36"/>
      <w:szCs w:val="28"/>
    </w:rPr>
  </w:style>
  <w:style w:type="character" w:customStyle="1" w:styleId="TITULEKVZVYChar">
    <w:name w:val="TITULEK VÝZVY Char"/>
    <w:link w:val="TITULEKVZVY"/>
    <w:rPr>
      <w:rFonts w:ascii="Segoe UI" w:eastAsia="Calibri" w:hAnsi="Segoe UI" w:cs="Times New Roman"/>
      <w:caps/>
      <w:color w:val="3E1F65"/>
      <w:sz w:val="36"/>
      <w:szCs w:val="28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120" w:line="264" w:lineRule="auto"/>
      <w:jc w:val="both"/>
    </w:pPr>
    <w:rPr>
      <w:rFonts w:eastAsia="Calibri" w:cs="Segoe UI"/>
      <w:b/>
      <w:szCs w:val="20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table" w:styleId="Mkatabulky">
    <w:name w:val="Table Grid"/>
    <w:basedOn w:val="Normlntabulka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 w:after="120" w:line="264" w:lineRule="auto"/>
    </w:pPr>
    <w:rPr>
      <w:rFonts w:eastAsia="Times New Roman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1"/>
      </w:numPr>
      <w:spacing w:before="24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3">
    <w:name w:val="Cislovani 3"/>
    <w:basedOn w:val="Normln"/>
    <w:pPr>
      <w:numPr>
        <w:ilvl w:val="2"/>
        <w:numId w:val="1"/>
      </w:numPr>
      <w:spacing w:before="12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1"/>
      </w:numPr>
      <w:spacing w:before="120" w:after="120" w:line="264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Cislovani5">
    <w:name w:val="Cislovani 5"/>
    <w:basedOn w:val="Cislovani4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left" w:pos="709"/>
      </w:tabs>
      <w:spacing w:before="400" w:after="240"/>
    </w:pPr>
    <w:rPr>
      <w:rFonts w:eastAsiaTheme="minorEastAsia" w:cs="Segoe UI"/>
      <w:color w:val="3E1F65"/>
    </w:rPr>
  </w:style>
  <w:style w:type="character" w:customStyle="1" w:styleId="Podtitul11Char">
    <w:name w:val="Podtitul_1.1 Char"/>
    <w:link w:val="Podtitul11"/>
    <w:rPr>
      <w:rFonts w:ascii="Segoe UI" w:eastAsiaTheme="minorEastAsia" w:hAnsi="Segoe UI" w:cs="Segoe UI"/>
      <w:b/>
      <w:caps/>
      <w:color w:val="3E1F65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</w:style>
  <w:style w:type="paragraph" w:customStyle="1" w:styleId="Poditul11">
    <w:name w:val="Poditul 1.1"/>
    <w:basedOn w:val="Cislovani2"/>
    <w:link w:val="Poditul11Char"/>
    <w:qFormat/>
    <w:pPr>
      <w:tabs>
        <w:tab w:val="left" w:pos="709"/>
      </w:tabs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eastAsia="Times New Roman" w:hAnsi="Segoe UI" w:cs="Segoe UI"/>
      <w:b/>
      <w:sz w:val="20"/>
      <w:szCs w:val="20"/>
      <w:lang w:eastAsia="cs-CZ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</w:pPr>
    <w:rPr>
      <w:rFonts w:eastAsia="Calibri"/>
      <w:szCs w:val="22"/>
      <w:lang w:eastAsia="en-US"/>
    </w:rPr>
  </w:style>
  <w:style w:type="character" w:customStyle="1" w:styleId="odrka1Char">
    <w:name w:val="odrážka 1 Char"/>
    <w:link w:val="odrka1"/>
    <w:rPr>
      <w:rFonts w:ascii="Segoe UI" w:eastAsia="Calibri" w:hAnsi="Segoe UI" w:cs="Times New Roman"/>
      <w:sz w:val="20"/>
    </w:rPr>
  </w:style>
  <w:style w:type="paragraph" w:customStyle="1" w:styleId="odrka1odsazen">
    <w:name w:val="odrážka 1 odsazení"/>
    <w:basedOn w:val="Normln"/>
    <w:link w:val="odrka1odsazenChar"/>
    <w:qFormat/>
    <w:pPr>
      <w:numPr>
        <w:numId w:val="5"/>
      </w:numPr>
      <w:spacing w:after="120" w:line="264" w:lineRule="auto"/>
      <w:ind w:left="1066" w:hanging="357"/>
      <w:jc w:val="both"/>
    </w:pPr>
    <w:rPr>
      <w:rFonts w:eastAsia="Times New Roman" w:cs="Segoe UI"/>
      <w:szCs w:val="20"/>
      <w:lang w:eastAsia="cs-CZ"/>
    </w:rPr>
  </w:style>
  <w:style w:type="character" w:customStyle="1" w:styleId="odrka1odsazenChar">
    <w:name w:val="odrážka 1 odsazení Char"/>
    <w:basedOn w:val="Standardnpsmoodstavce"/>
    <w:link w:val="odrka1odsazen"/>
    <w:rPr>
      <w:rFonts w:ascii="Segoe UI" w:eastAsia="Times New Roman" w:hAnsi="Segoe UI" w:cs="Segoe U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paragraph" w:customStyle="1" w:styleId="Textodsazen">
    <w:name w:val="Text_odsazení"/>
    <w:basedOn w:val="Normlnodsazen"/>
    <w:link w:val="TextodsazenChar"/>
    <w:qFormat/>
    <w:pPr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customStyle="1" w:styleId="TextodsazenChar">
    <w:name w:val="Text_odsazení Char"/>
    <w:link w:val="Textodsazen"/>
    <w:rPr>
      <w:rFonts w:ascii="Segoe UI" w:eastAsia="Times New Roman" w:hAnsi="Segoe UI" w:cs="Segoe UI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docdata">
    <w:name w:val="docdata"/>
    <w:basedOn w:val="Standardnpsmoodstavce"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Segoe UI" w:hAnsi="Segoe UI"/>
      <w:sz w:val="20"/>
    </w:rPr>
  </w:style>
  <w:style w:type="paragraph" w:customStyle="1" w:styleId="docy">
    <w:name w:val="docy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online.cz" TargetMode="External"/><Relationship Id="rId13" Type="http://schemas.openxmlformats.org/officeDocument/2006/relationships/hyperlink" Target="https://opst.cz/dokument/3666" TargetMode="External"/><Relationship Id="rId18" Type="http://schemas.openxmlformats.org/officeDocument/2006/relationships/hyperlink" Target="https://opst.cz/dokumenty/ostatni-dokumenty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opst.cz/dokumenty/ostatni-dokumenty/" TargetMode="External"/><Relationship Id="rId17" Type="http://schemas.openxmlformats.org/officeDocument/2006/relationships/hyperlink" Target="https://opst.cz/dokument/366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pst.cz/dokumenty/ostatni-dokumenty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st.cz/dokument/366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pst.cz/dokument/3666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opst.cz/dokumenty/ostatni-dokumenty/" TargetMode="External"/><Relationship Id="rId19" Type="http://schemas.openxmlformats.org/officeDocument/2006/relationships/hyperlink" Target="https://opst.cz/dokument/3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sonline.cz" TargetMode="External"/><Relationship Id="rId14" Type="http://schemas.openxmlformats.org/officeDocument/2006/relationships/hyperlink" Target="https://opst.cz/dokumenty/ostatni-dokumenty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8341A-C35B-46EA-8B86-4849E912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2541</Words>
  <Characters>14996</Characters>
  <Application>Microsoft Office Word</Application>
  <DocSecurity>0</DocSecurity>
  <Lines>124</Lines>
  <Paragraphs>35</Paragraphs>
  <ScaleCrop>false</ScaleCrop>
  <Company/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Skoupá Veronika</dc:creator>
  <cp:lastModifiedBy>Tomáš Komm</cp:lastModifiedBy>
  <cp:revision>4</cp:revision>
  <dcterms:created xsi:type="dcterms:W3CDTF">2025-06-25T09:04:00Z</dcterms:created>
  <dcterms:modified xsi:type="dcterms:W3CDTF">2025-06-25T09:05:00Z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200.1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MZP/2025/310/127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CJ/SPIS/ROK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16.6.2025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&lt;TABLE&gt;&lt;TR&gt;&lt;TD&gt;Č.j.:&lt;/TD&gt;&lt;TD&gt;MZP/2025/310/127&lt;/TD&gt;&lt;/TR&gt;&lt;TR&gt;&lt;TD&gt;&lt;/TD&gt;&lt;TD&gt;&lt;/TD&gt;&lt;/TR&gt;&lt;/TABLE&gt;</vt:lpwstr>
  </property>
  <property fmtid="{D5CDD505-2E9C-101B-9397-08002B2CF9AE}" pid="15" name="DisplayName_PoziceMa_Pisemnost">
    <vt:lpwstr>Mgr. Sylva Holubová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podpory transformace na nízkouhlíkovou ekonomiku</vt:lpwstr>
  </property>
  <property fmtid="{D5CDD505-2E9C-101B-9397-08002B2CF9AE}" pid="18" name="DisplayName_Spis_Pisemnost">
    <vt:lpwstr/>
  </property>
  <property fmtid="{D5CDD505-2E9C-101B-9397-08002B2CF9AE}" pid="19" name="DisplayName_UserPoriz_Pisemnost">
    <vt:lpwstr>Mgr. Sylva Holubová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ENV/2025/243890</vt:lpwstr>
  </property>
  <property fmtid="{D5CDD505-2E9C-101B-9397-08002B2CF9AE}" pid="22" name="Key_BarCode_Pisemnost">
    <vt:lpwstr>*B003013899*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ENV/2025/243890</vt:lpwstr>
  </property>
  <property fmtid="{D5CDD505-2E9C-101B-9397-08002B2CF9AE}" pid="36" name="RC">
    <vt:lpwstr/>
  </property>
  <property fmtid="{D5CDD505-2E9C-101B-9397-08002B2CF9AE}" pid="37" name="SkartacniZnakLhuta_PisemnostZnak">
    <vt:lpwstr>A/10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ZZZ-ZZZ-ZZZ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Schválení změny u výzev OPST Obnova území - Veřejné služby, kultura, sport, rekreace č. 79 a 80 ředitelkou R. Leistner Kratochvílovou</vt:lpwstr>
  </property>
  <property fmtid="{D5CDD505-2E9C-101B-9397-08002B2CF9AE}" pid="44" name="Zkratka_SpisovyUzel_PoziceZodpo_Pisemnost">
    <vt:lpwstr>310</vt:lpwstr>
  </property>
</Properties>
</file>